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F027F4">
      <w:pPr>
        <w:jc w:val="left"/>
        <w:rPr>
          <w:rFonts w:ascii="Times New Roman" w:hAnsi="Times New Roman" w:eastAsia="黑体" w:cs="Times New Roman"/>
          <w:sz w:val="28"/>
          <w:szCs w:val="28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</w:p>
    <w:p w14:paraId="4591731A">
      <w:pPr>
        <w:spacing w:line="560" w:lineRule="exact"/>
        <w:jc w:val="center"/>
        <w:rPr>
          <w:rFonts w:ascii="Times New Roman" w:hAnsi="Times New Roman" w:eastAsia="黑体" w:cs="Times New Roman"/>
          <w:sz w:val="40"/>
          <w:szCs w:val="32"/>
        </w:rPr>
      </w:pPr>
      <w:r>
        <w:rPr>
          <w:rFonts w:hint="eastAsia" w:ascii="Times New Roman" w:hAnsi="Times New Roman" w:eastAsia="方正小标宋_GBK" w:cs="Times New Roman"/>
          <w:color w:val="000000"/>
          <w:sz w:val="40"/>
          <w:szCs w:val="40"/>
        </w:rPr>
        <w:t>镇江高新区“双高协同”</w:t>
      </w:r>
      <w:r>
        <w:rPr>
          <w:rFonts w:ascii="Times New Roman" w:hAnsi="Times New Roman" w:eastAsia="方正小标宋_GBK" w:cs="Times New Roman"/>
          <w:color w:val="000000"/>
          <w:sz w:val="40"/>
          <w:szCs w:val="40"/>
        </w:rPr>
        <w:t>企业创新需求表</w:t>
      </w:r>
      <w:r>
        <w:rPr>
          <w:rFonts w:hint="eastAsia" w:ascii="Times New Roman" w:hAnsi="Times New Roman" w:eastAsia="方正小标宋_GBK" w:cs="Times New Roman"/>
          <w:color w:val="000000"/>
          <w:sz w:val="40"/>
          <w:szCs w:val="40"/>
          <w:lang w:eastAsia="zh-CN"/>
        </w:rPr>
        <w:t>（第二批）</w:t>
      </w:r>
      <w:bookmarkStart w:id="0" w:name="_GoBack"/>
      <w:bookmarkEnd w:id="0"/>
    </w:p>
    <w:tbl>
      <w:tblPr>
        <w:tblStyle w:val="5"/>
        <w:tblW w:w="90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1350"/>
        <w:gridCol w:w="3169"/>
        <w:gridCol w:w="456"/>
        <w:gridCol w:w="1199"/>
        <w:gridCol w:w="507"/>
        <w:gridCol w:w="1698"/>
      </w:tblGrid>
      <w:tr w14:paraId="694D8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980" w:type="dxa"/>
            <w:gridSpan w:val="2"/>
            <w:vAlign w:val="center"/>
          </w:tcPr>
          <w:p w14:paraId="65802149">
            <w:pPr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企业名称</w:t>
            </w:r>
          </w:p>
        </w:tc>
        <w:tc>
          <w:tcPr>
            <w:tcW w:w="7029" w:type="dxa"/>
            <w:gridSpan w:val="5"/>
            <w:tcBorders>
              <w:left w:val="nil"/>
            </w:tcBorders>
            <w:vAlign w:val="center"/>
          </w:tcPr>
          <w:p w14:paraId="7F89ECC7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</w:rPr>
              <w:t>中船动力镇江有限公司</w:t>
            </w:r>
          </w:p>
        </w:tc>
      </w:tr>
      <w:tr w14:paraId="283B9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980" w:type="dxa"/>
            <w:gridSpan w:val="2"/>
            <w:vAlign w:val="center"/>
          </w:tcPr>
          <w:p w14:paraId="5E551BFC">
            <w:pPr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3625" w:type="dxa"/>
            <w:gridSpan w:val="2"/>
            <w:tcBorders>
              <w:left w:val="nil"/>
            </w:tcBorders>
            <w:vAlign w:val="center"/>
          </w:tcPr>
          <w:p w14:paraId="021F7981">
            <w:pPr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</w:rPr>
              <w:t>郭信鹏</w:t>
            </w:r>
          </w:p>
        </w:tc>
        <w:tc>
          <w:tcPr>
            <w:tcW w:w="1199" w:type="dxa"/>
            <w:vAlign w:val="center"/>
          </w:tcPr>
          <w:p w14:paraId="0C84ED02">
            <w:pPr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职务</w:t>
            </w:r>
          </w:p>
        </w:tc>
        <w:tc>
          <w:tcPr>
            <w:tcW w:w="2205" w:type="dxa"/>
            <w:gridSpan w:val="2"/>
            <w:tcBorders>
              <w:left w:val="nil"/>
            </w:tcBorders>
            <w:vAlign w:val="center"/>
          </w:tcPr>
          <w:p w14:paraId="62852079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</w:rPr>
              <w:t>/</w:t>
            </w:r>
          </w:p>
        </w:tc>
      </w:tr>
      <w:tr w14:paraId="2146B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980" w:type="dxa"/>
            <w:gridSpan w:val="2"/>
            <w:vAlign w:val="center"/>
          </w:tcPr>
          <w:p w14:paraId="11DCF662">
            <w:pPr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3625" w:type="dxa"/>
            <w:gridSpan w:val="2"/>
            <w:tcBorders>
              <w:left w:val="nil"/>
            </w:tcBorders>
            <w:vAlign w:val="center"/>
          </w:tcPr>
          <w:p w14:paraId="64E4D887">
            <w:pPr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develop@cssc-cmp.cn</w:t>
            </w:r>
          </w:p>
        </w:tc>
        <w:tc>
          <w:tcPr>
            <w:tcW w:w="1199" w:type="dxa"/>
            <w:vAlign w:val="center"/>
          </w:tcPr>
          <w:p w14:paraId="3A53A576">
            <w:pPr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电话</w:t>
            </w:r>
          </w:p>
        </w:tc>
        <w:tc>
          <w:tcPr>
            <w:tcW w:w="2205" w:type="dxa"/>
            <w:gridSpan w:val="2"/>
            <w:tcBorders>
              <w:left w:val="nil"/>
            </w:tcBorders>
            <w:vAlign w:val="center"/>
          </w:tcPr>
          <w:p w14:paraId="35FF615B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</w:rPr>
              <w:t>19602184117</w:t>
            </w:r>
          </w:p>
        </w:tc>
      </w:tr>
      <w:tr w14:paraId="3C739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gridSpan w:val="2"/>
            <w:vAlign w:val="center"/>
          </w:tcPr>
          <w:p w14:paraId="2FEC4E86">
            <w:pPr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产业集群</w:t>
            </w:r>
          </w:p>
        </w:tc>
        <w:tc>
          <w:tcPr>
            <w:tcW w:w="7029" w:type="dxa"/>
            <w:gridSpan w:val="5"/>
            <w:tcBorders>
              <w:left w:val="nil"/>
            </w:tcBorders>
            <w:vAlign w:val="center"/>
          </w:tcPr>
          <w:p w14:paraId="178D323D"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□高端装备制造 □生命健康 □数字经济</w:t>
            </w:r>
          </w:p>
          <w:p w14:paraId="1ECD138C">
            <w:pPr>
              <w:spacing w:line="36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 xml:space="preserve">□新材料 </w:t>
            </w:r>
            <w:r>
              <w:rPr>
                <w:rFonts w:ascii="Times New Roman" w:hAnsi="Times New Roman" w:eastAsia="方正仿宋_GBK" w:cs="Times New Roman"/>
                <w:sz w:val="24"/>
              </w:rPr>
              <w:sym w:font="Wingdings 2" w:char="F052"/>
            </w:r>
            <w:r>
              <w:rPr>
                <w:rFonts w:ascii="Times New Roman" w:hAnsi="Times New Roman" w:eastAsia="方正仿宋_GBK" w:cs="Times New Roman"/>
                <w:sz w:val="24"/>
              </w:rPr>
              <w:t>其他</w:t>
            </w:r>
            <w:r>
              <w:rPr>
                <w:rFonts w:hint="eastAsia" w:ascii="Times New Roman" w:hAnsi="Times New Roman" w:eastAsia="方正仿宋_GBK" w:cs="Times New Roman"/>
                <w:sz w:val="24"/>
              </w:rPr>
              <w:t xml:space="preserve"> 高技术船舶和海工装备</w:t>
            </w:r>
          </w:p>
        </w:tc>
      </w:tr>
      <w:tr w14:paraId="02A5C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gridSpan w:val="2"/>
            <w:tcBorders>
              <w:bottom w:val="single" w:color="auto" w:sz="4" w:space="0"/>
            </w:tcBorders>
            <w:vAlign w:val="center"/>
          </w:tcPr>
          <w:p w14:paraId="3A5A08B9">
            <w:pPr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重点产业</w:t>
            </w:r>
          </w:p>
        </w:tc>
        <w:tc>
          <w:tcPr>
            <w:tcW w:w="7029" w:type="dxa"/>
            <w:gridSpan w:val="5"/>
            <w:tcBorders>
              <w:left w:val="nil"/>
              <w:bottom w:val="single" w:color="auto" w:sz="4" w:space="0"/>
            </w:tcBorders>
            <w:vAlign w:val="center"/>
          </w:tcPr>
          <w:p w14:paraId="2B0D7C3F"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□航空航天（含低空经济）  □汽车及零部件（新能源汽车）</w:t>
            </w:r>
          </w:p>
          <w:p w14:paraId="3F644AF6"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 xml:space="preserve">□新型电力（新能源）装备（含新型储能与氢能） </w:t>
            </w:r>
          </w:p>
          <w:p w14:paraId="059CA38D"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 xml:space="preserve">□医疗器械和生物医药      </w:t>
            </w:r>
            <w:r>
              <w:rPr>
                <w:rFonts w:ascii="Times New Roman" w:hAnsi="Times New Roman" w:eastAsia="方正仿宋_GBK" w:cs="Times New Roman"/>
                <w:sz w:val="24"/>
              </w:rPr>
              <w:sym w:font="Wingdings 2" w:char="F052"/>
            </w:r>
            <w:r>
              <w:rPr>
                <w:rFonts w:ascii="Times New Roman" w:hAnsi="Times New Roman" w:eastAsia="方正仿宋_GBK" w:cs="Times New Roman"/>
                <w:sz w:val="24"/>
              </w:rPr>
              <w:t>船舶海工装备</w:t>
            </w:r>
          </w:p>
          <w:p w14:paraId="653B0614"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 xml:space="preserve">□高性能材料              □智能农机装备     </w:t>
            </w:r>
          </w:p>
          <w:p w14:paraId="24650D67"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□新一代信息技术（含人工智能、具身智能和智能终端、脑机接口）</w:t>
            </w:r>
          </w:p>
          <w:p w14:paraId="53BFDD9E">
            <w:pPr>
              <w:spacing w:line="36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□视觉光学                □其他</w:t>
            </w:r>
          </w:p>
        </w:tc>
      </w:tr>
      <w:tr w14:paraId="31036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980" w:type="dxa"/>
            <w:gridSpan w:val="2"/>
            <w:tcBorders>
              <w:bottom w:val="single" w:color="auto" w:sz="4" w:space="0"/>
            </w:tcBorders>
            <w:vAlign w:val="center"/>
          </w:tcPr>
          <w:p w14:paraId="2DFEC829">
            <w:pPr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主营产品</w:t>
            </w:r>
          </w:p>
        </w:tc>
        <w:tc>
          <w:tcPr>
            <w:tcW w:w="7029" w:type="dxa"/>
            <w:gridSpan w:val="5"/>
            <w:tcBorders>
              <w:left w:val="nil"/>
              <w:bottom w:val="single" w:color="auto" w:sz="4" w:space="0"/>
            </w:tcBorders>
            <w:vAlign w:val="center"/>
          </w:tcPr>
          <w:p w14:paraId="2251A3BE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</w:rPr>
              <w:t>船用中速发动机</w:t>
            </w:r>
          </w:p>
        </w:tc>
      </w:tr>
      <w:tr w14:paraId="3FF59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9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ABF2F27">
            <w:pPr>
              <w:rPr>
                <w:rFonts w:ascii="Times New Roman" w:hAnsi="Times New Roman" w:eastAsia="仿宋_GB2312" w:cs="Times New Roman"/>
                <w:kern w:val="0"/>
                <w:sz w:val="13"/>
                <w:szCs w:val="13"/>
              </w:rPr>
            </w:pPr>
          </w:p>
        </w:tc>
        <w:tc>
          <w:tcPr>
            <w:tcW w:w="702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380D198">
            <w:pPr>
              <w:rPr>
                <w:rFonts w:ascii="Times New Roman" w:hAnsi="Times New Roman" w:eastAsia="仿宋_GB2312" w:cs="Times New Roman"/>
                <w:kern w:val="0"/>
                <w:sz w:val="13"/>
                <w:szCs w:val="13"/>
              </w:rPr>
            </w:pPr>
          </w:p>
        </w:tc>
      </w:tr>
      <w:tr w14:paraId="1B1FF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980" w:type="dxa"/>
            <w:gridSpan w:val="2"/>
            <w:vAlign w:val="center"/>
          </w:tcPr>
          <w:p w14:paraId="36864953">
            <w:pPr>
              <w:jc w:val="center"/>
              <w:rPr>
                <w:rFonts w:ascii="Times New Roman" w:hAnsi="Times New Roman" w:eastAsia="黑体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技术需求名称</w:t>
            </w:r>
          </w:p>
        </w:tc>
        <w:tc>
          <w:tcPr>
            <w:tcW w:w="7029" w:type="dxa"/>
            <w:gridSpan w:val="5"/>
            <w:vAlign w:val="center"/>
          </w:tcPr>
          <w:p w14:paraId="58B7B823">
            <w:pPr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陆用发电机组远程运维系统</w:t>
            </w:r>
          </w:p>
        </w:tc>
      </w:tr>
      <w:tr w14:paraId="68576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980" w:type="dxa"/>
            <w:gridSpan w:val="2"/>
            <w:tcBorders>
              <w:bottom w:val="single" w:color="auto" w:sz="4" w:space="0"/>
            </w:tcBorders>
            <w:vAlign w:val="center"/>
          </w:tcPr>
          <w:p w14:paraId="35956FA7">
            <w:pPr>
              <w:snapToGrid w:val="0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项目总投入</w:t>
            </w:r>
          </w:p>
          <w:p w14:paraId="40E928B8">
            <w:pPr>
              <w:snapToGrid w:val="0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（万元）</w:t>
            </w:r>
          </w:p>
        </w:tc>
        <w:tc>
          <w:tcPr>
            <w:tcW w:w="7029" w:type="dxa"/>
            <w:gridSpan w:val="5"/>
            <w:tcBorders>
              <w:bottom w:val="single" w:color="auto" w:sz="4" w:space="0"/>
            </w:tcBorders>
            <w:vAlign w:val="center"/>
          </w:tcPr>
          <w:p w14:paraId="4BCBE685">
            <w:pPr>
              <w:snapToGrid w:val="0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100</w:t>
            </w:r>
          </w:p>
        </w:tc>
      </w:tr>
      <w:tr w14:paraId="37A64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630" w:type="dxa"/>
            <w:vMerge w:val="restart"/>
            <w:vAlign w:val="center"/>
          </w:tcPr>
          <w:p w14:paraId="7966FD7F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技术需求情况说明</w:t>
            </w:r>
          </w:p>
        </w:tc>
        <w:tc>
          <w:tcPr>
            <w:tcW w:w="1350" w:type="dxa"/>
            <w:tcBorders>
              <w:left w:val="nil"/>
              <w:bottom w:val="single" w:color="auto" w:sz="4" w:space="0"/>
            </w:tcBorders>
            <w:vAlign w:val="center"/>
          </w:tcPr>
          <w:p w14:paraId="7F17F66E">
            <w:pPr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应用场景</w:t>
            </w:r>
          </w:p>
        </w:tc>
        <w:tc>
          <w:tcPr>
            <w:tcW w:w="7029" w:type="dxa"/>
            <w:gridSpan w:val="5"/>
            <w:tcBorders>
              <w:left w:val="nil"/>
              <w:bottom w:val="single" w:color="auto" w:sz="4" w:space="0"/>
            </w:tcBorders>
            <w:vAlign w:val="center"/>
          </w:tcPr>
          <w:p w14:paraId="537481D9">
            <w:pPr>
              <w:snapToGrid w:val="0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陆用电站广泛应用于海外通信基站、矿山及电力保障等重要场景。这类机组通常面临持续运行时间长、环境条件严苛（如高温、粉尘、振动）以及地域分布分散等客观挑战，对设备的运行可靠性与运维管理水平提出了极高要求。通过重点突破设备运行数据采集、状态监测与故障预警、跨区域通信保障及集中化运维管理等关键环节，构建统一、高效、可靠的远程运维平台。这将有效提升设备运行的可视化水平与故障快速响应能力，推动运维模式由“经验驱动”向“数据驱动”跨越式转变，全面保障海外电站的运维管理水平与供电安全。</w:t>
            </w:r>
          </w:p>
        </w:tc>
      </w:tr>
      <w:tr w14:paraId="1E9E8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3" w:hRule="atLeast"/>
          <w:jc w:val="center"/>
        </w:trPr>
        <w:tc>
          <w:tcPr>
            <w:tcW w:w="630" w:type="dxa"/>
            <w:vMerge w:val="continue"/>
            <w:vAlign w:val="center"/>
          </w:tcPr>
          <w:p w14:paraId="00FB33C3">
            <w:pPr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350" w:type="dxa"/>
            <w:tcBorders>
              <w:left w:val="nil"/>
              <w:bottom w:val="single" w:color="auto" w:sz="4" w:space="0"/>
            </w:tcBorders>
            <w:vAlign w:val="center"/>
          </w:tcPr>
          <w:p w14:paraId="3FFD6E85">
            <w:pPr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研究内容</w:t>
            </w:r>
          </w:p>
        </w:tc>
        <w:tc>
          <w:tcPr>
            <w:tcW w:w="7029" w:type="dxa"/>
            <w:gridSpan w:val="5"/>
            <w:tcBorders>
              <w:left w:val="nil"/>
              <w:bottom w:val="single" w:color="auto" w:sz="4" w:space="0"/>
            </w:tcBorders>
            <w:vAlign w:val="center"/>
          </w:tcPr>
          <w:p w14:paraId="3ECB76EF">
            <w:pPr>
              <w:snapToGrid w:val="0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通过开发陆用电站远程运维系统，可实现实时陆用电站传感器参数上传至远程端云服务器，并通过远程端软件平台实现数据远程监控、预防性维护提示、健康度评估、故障分析及预测。上述功能同时能在陆用电站本地显示。</w:t>
            </w:r>
          </w:p>
        </w:tc>
      </w:tr>
      <w:tr w14:paraId="3F277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9" w:hRule="atLeast"/>
          <w:jc w:val="center"/>
        </w:trPr>
        <w:tc>
          <w:tcPr>
            <w:tcW w:w="630" w:type="dxa"/>
            <w:vMerge w:val="continue"/>
            <w:tcBorders>
              <w:bottom w:val="single" w:color="auto" w:sz="4" w:space="0"/>
            </w:tcBorders>
            <w:vAlign w:val="center"/>
          </w:tcPr>
          <w:p w14:paraId="422A3C39">
            <w:pPr>
              <w:snapToGrid w:val="0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350" w:type="dxa"/>
            <w:tcBorders>
              <w:left w:val="nil"/>
              <w:bottom w:val="single" w:color="auto" w:sz="4" w:space="0"/>
            </w:tcBorders>
            <w:vAlign w:val="center"/>
          </w:tcPr>
          <w:p w14:paraId="69553BC8">
            <w:pPr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关键</w:t>
            </w:r>
          </w:p>
          <w:p w14:paraId="05E36923">
            <w:pPr>
              <w:jc w:val="center"/>
              <w:rPr>
                <w:rFonts w:ascii="Times New Roman" w:hAnsi="Times New Roman" w:eastAsia="黑体" w:cs="Times New Roman"/>
                <w:kern w:val="0"/>
                <w:sz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技术指标</w:t>
            </w:r>
          </w:p>
        </w:tc>
        <w:tc>
          <w:tcPr>
            <w:tcW w:w="7029" w:type="dxa"/>
            <w:gridSpan w:val="5"/>
            <w:tcBorders>
              <w:left w:val="nil"/>
              <w:bottom w:val="single" w:color="auto" w:sz="4" w:space="0"/>
            </w:tcBorders>
            <w:vAlign w:val="center"/>
          </w:tcPr>
          <w:p w14:paraId="4AE4E62A">
            <w:pPr>
              <w:pStyle w:val="9"/>
              <w:numPr>
                <w:ilvl w:val="0"/>
                <w:numId w:val="1"/>
              </w:numPr>
              <w:snapToGrid w:val="0"/>
              <w:ind w:firstLineChars="0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系统应具备高可靠的异常状态识别能力，确保报警识别准确率不低于95%；</w:t>
            </w:r>
          </w:p>
          <w:p w14:paraId="78FE19F7">
            <w:pPr>
              <w:pStyle w:val="9"/>
              <w:numPr>
                <w:ilvl w:val="0"/>
                <w:numId w:val="1"/>
              </w:numPr>
              <w:snapToGrid w:val="0"/>
              <w:ind w:firstLineChars="0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陆用电站主要热工参数的性能趋势预测准确率不低于95%；</w:t>
            </w:r>
          </w:p>
          <w:p w14:paraId="3E9B5927">
            <w:pPr>
              <w:pStyle w:val="9"/>
              <w:numPr>
                <w:ilvl w:val="0"/>
                <w:numId w:val="1"/>
              </w:numPr>
              <w:snapToGrid w:val="0"/>
              <w:ind w:firstLineChars="0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对于柴油机典型故障的诊断准确率不低于80%；</w:t>
            </w:r>
          </w:p>
          <w:p w14:paraId="74DF8CBF">
            <w:pPr>
              <w:pStyle w:val="9"/>
              <w:numPr>
                <w:ilvl w:val="0"/>
                <w:numId w:val="1"/>
              </w:numPr>
              <w:snapToGrid w:val="0"/>
              <w:ind w:firstLineChars="0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系统软硬件应具备数据传输安全、物理防篡改、传输备份、软件加密保护等功能。</w:t>
            </w:r>
          </w:p>
        </w:tc>
      </w:tr>
      <w:tr w14:paraId="25378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1980" w:type="dxa"/>
            <w:gridSpan w:val="2"/>
            <w:tcBorders>
              <w:bottom w:val="single" w:color="auto" w:sz="4" w:space="0"/>
            </w:tcBorders>
            <w:vAlign w:val="center"/>
          </w:tcPr>
          <w:p w14:paraId="67F3F90A"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技术需求类别</w:t>
            </w:r>
          </w:p>
        </w:tc>
        <w:tc>
          <w:tcPr>
            <w:tcW w:w="7029" w:type="dxa"/>
            <w:gridSpan w:val="5"/>
            <w:tcBorders>
              <w:left w:val="nil"/>
              <w:bottom w:val="single" w:color="auto" w:sz="4" w:space="0"/>
            </w:tcBorders>
            <w:vAlign w:val="center"/>
          </w:tcPr>
          <w:p w14:paraId="15A5E421"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sym w:font="Wingdings 2" w:char="F052"/>
            </w:r>
            <w:r>
              <w:rPr>
                <w:rFonts w:ascii="Times New Roman" w:hAnsi="Times New Roman" w:eastAsia="方正仿宋_GBK" w:cs="Times New Roman"/>
                <w:sz w:val="24"/>
              </w:rPr>
              <w:t>新产品研发 □产品升级换代 □生产线技术改造</w:t>
            </w:r>
          </w:p>
          <w:p w14:paraId="182D8442">
            <w:pPr>
              <w:spacing w:line="360" w:lineRule="exact"/>
              <w:rPr>
                <w:rFonts w:ascii="Times New Roman" w:hAnsi="Times New Roman" w:eastAsia="方正仿宋_GBK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□制造工艺改进 □制造装备改进 □其他</w:t>
            </w:r>
          </w:p>
        </w:tc>
      </w:tr>
      <w:tr w14:paraId="24106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980" w:type="dxa"/>
            <w:gridSpan w:val="2"/>
            <w:tcBorders>
              <w:bottom w:val="single" w:color="auto" w:sz="4" w:space="0"/>
            </w:tcBorders>
            <w:vAlign w:val="center"/>
          </w:tcPr>
          <w:p w14:paraId="5E9A5690"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意向合作方式</w:t>
            </w:r>
          </w:p>
        </w:tc>
        <w:tc>
          <w:tcPr>
            <w:tcW w:w="7029" w:type="dxa"/>
            <w:gridSpan w:val="5"/>
            <w:tcBorders>
              <w:left w:val="nil"/>
              <w:bottom w:val="single" w:color="auto" w:sz="4" w:space="0"/>
            </w:tcBorders>
            <w:vAlign w:val="center"/>
          </w:tcPr>
          <w:p w14:paraId="61F7B01F"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 xml:space="preserve">□技术转让 </w:t>
            </w:r>
            <w:r>
              <w:rPr>
                <w:rFonts w:ascii="Times New Roman" w:hAnsi="Times New Roman" w:eastAsia="方正仿宋_GBK" w:cs="Times New Roman"/>
                <w:sz w:val="24"/>
              </w:rPr>
              <w:sym w:font="Wingdings 2" w:char="F052"/>
            </w:r>
            <w:r>
              <w:rPr>
                <w:rFonts w:ascii="Times New Roman" w:hAnsi="Times New Roman" w:eastAsia="方正仿宋_GBK" w:cs="Times New Roman"/>
                <w:sz w:val="24"/>
              </w:rPr>
              <w:t xml:space="preserve">技术开发 □技术咨询 □技术服务 </w:t>
            </w:r>
          </w:p>
          <w:p w14:paraId="762C7EFC"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□技术入股 □人才培养 □共建载体 □其他</w:t>
            </w:r>
          </w:p>
        </w:tc>
      </w:tr>
      <w:tr w14:paraId="3B61D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1980" w:type="dxa"/>
            <w:gridSpan w:val="2"/>
            <w:tcBorders>
              <w:bottom w:val="single" w:color="auto" w:sz="4" w:space="0"/>
            </w:tcBorders>
            <w:vAlign w:val="center"/>
          </w:tcPr>
          <w:p w14:paraId="2573AB43">
            <w:pPr>
              <w:snapToGrid w:val="0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需求所处阶段</w:t>
            </w:r>
          </w:p>
        </w:tc>
        <w:tc>
          <w:tcPr>
            <w:tcW w:w="3169" w:type="dxa"/>
            <w:tcBorders>
              <w:left w:val="nil"/>
              <w:bottom w:val="single" w:color="auto" w:sz="4" w:space="0"/>
            </w:tcBorders>
            <w:vAlign w:val="center"/>
          </w:tcPr>
          <w:p w14:paraId="617DE1D6">
            <w:pPr>
              <w:snapToGrid w:val="0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 xml:space="preserve">□研制 </w:t>
            </w:r>
            <w:r>
              <w:rPr>
                <w:rFonts w:ascii="Times New Roman" w:hAnsi="Times New Roman" w:eastAsia="方正仿宋_GBK" w:cs="Times New Roman"/>
                <w:sz w:val="24"/>
              </w:rPr>
              <w:sym w:font="Wingdings 2" w:char="F052"/>
            </w:r>
            <w:r>
              <w:rPr>
                <w:rFonts w:ascii="Times New Roman" w:hAnsi="Times New Roman" w:eastAsia="方正仿宋_GBK" w:cs="Times New Roman"/>
                <w:sz w:val="24"/>
              </w:rPr>
              <w:t>试生产 □小批量生产 □批量生产 □其他</w:t>
            </w:r>
          </w:p>
        </w:tc>
        <w:tc>
          <w:tcPr>
            <w:tcW w:w="2162" w:type="dxa"/>
            <w:gridSpan w:val="3"/>
            <w:tcBorders>
              <w:left w:val="nil"/>
              <w:bottom w:val="single" w:color="auto" w:sz="4" w:space="0"/>
            </w:tcBorders>
            <w:vAlign w:val="center"/>
          </w:tcPr>
          <w:p w14:paraId="354DA6EF">
            <w:pPr>
              <w:snapToGrid w:val="0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意向合作院校</w:t>
            </w:r>
          </w:p>
        </w:tc>
        <w:tc>
          <w:tcPr>
            <w:tcW w:w="1698" w:type="dxa"/>
            <w:tcBorders>
              <w:left w:val="nil"/>
              <w:bottom w:val="single" w:color="auto" w:sz="4" w:space="0"/>
            </w:tcBorders>
          </w:tcPr>
          <w:p w14:paraId="7F09F0A4">
            <w:pPr>
              <w:snapToGrid w:val="0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</w:tbl>
    <w:p w14:paraId="51214E0B">
      <w:pPr>
        <w:widowControl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</w:p>
    <w:sectPr>
      <w:footerReference r:id="rId3" w:type="default"/>
      <w:pgSz w:w="11906" w:h="16838"/>
      <w:pgMar w:top="1440" w:right="1519" w:bottom="1440" w:left="1519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9388CB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3FF57C">
                          <w:pPr>
                            <w:pStyle w:val="3"/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t>- 1 -</w: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3FF57C">
                    <w:pPr>
                      <w:pStyle w:val="3"/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</w:pP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t>- 1 -</w: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813289"/>
    <w:multiLevelType w:val="multilevel"/>
    <w:tmpl w:val="2F813289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ExYmRjNTY0OTU0OWJhMjU2YmI5ZGZmMzQ0YjczMjAifQ=="/>
  </w:docVars>
  <w:rsids>
    <w:rsidRoot w:val="18BA14AA"/>
    <w:rsid w:val="0036169B"/>
    <w:rsid w:val="00446642"/>
    <w:rsid w:val="004932E0"/>
    <w:rsid w:val="00561116"/>
    <w:rsid w:val="00593021"/>
    <w:rsid w:val="00780C12"/>
    <w:rsid w:val="008315FE"/>
    <w:rsid w:val="00892C5D"/>
    <w:rsid w:val="008A7341"/>
    <w:rsid w:val="00983B4B"/>
    <w:rsid w:val="00BA41ED"/>
    <w:rsid w:val="00C860DE"/>
    <w:rsid w:val="00CD0158"/>
    <w:rsid w:val="00D807E7"/>
    <w:rsid w:val="00F62F57"/>
    <w:rsid w:val="00FB4052"/>
    <w:rsid w:val="0147778C"/>
    <w:rsid w:val="02F55B6C"/>
    <w:rsid w:val="049727D9"/>
    <w:rsid w:val="053F077B"/>
    <w:rsid w:val="05856AD5"/>
    <w:rsid w:val="06113EC5"/>
    <w:rsid w:val="06C65766"/>
    <w:rsid w:val="077978E7"/>
    <w:rsid w:val="08206641"/>
    <w:rsid w:val="092A7769"/>
    <w:rsid w:val="09F7464E"/>
    <w:rsid w:val="0BDE1032"/>
    <w:rsid w:val="0E796AAB"/>
    <w:rsid w:val="0F582B65"/>
    <w:rsid w:val="0F655282"/>
    <w:rsid w:val="0FBE58FC"/>
    <w:rsid w:val="10790FE5"/>
    <w:rsid w:val="124D097B"/>
    <w:rsid w:val="1254369E"/>
    <w:rsid w:val="13CE5AEB"/>
    <w:rsid w:val="153B2D0D"/>
    <w:rsid w:val="166B01A6"/>
    <w:rsid w:val="16E16DA2"/>
    <w:rsid w:val="1764706C"/>
    <w:rsid w:val="17806F99"/>
    <w:rsid w:val="17AC04B0"/>
    <w:rsid w:val="1820482C"/>
    <w:rsid w:val="18BA14AA"/>
    <w:rsid w:val="1A750A6F"/>
    <w:rsid w:val="1B291859"/>
    <w:rsid w:val="1B8371BB"/>
    <w:rsid w:val="1BC670A8"/>
    <w:rsid w:val="1C4050AC"/>
    <w:rsid w:val="1E0A5972"/>
    <w:rsid w:val="1EB77F78"/>
    <w:rsid w:val="1F5350F7"/>
    <w:rsid w:val="20174376"/>
    <w:rsid w:val="20B47E17"/>
    <w:rsid w:val="23566F63"/>
    <w:rsid w:val="23BA5744"/>
    <w:rsid w:val="23DA1943"/>
    <w:rsid w:val="241906BD"/>
    <w:rsid w:val="26CC5EBA"/>
    <w:rsid w:val="26EC030B"/>
    <w:rsid w:val="288602EB"/>
    <w:rsid w:val="2AF9465D"/>
    <w:rsid w:val="2B0C0F7B"/>
    <w:rsid w:val="2BA93F88"/>
    <w:rsid w:val="2CC94C4A"/>
    <w:rsid w:val="2E1F2D74"/>
    <w:rsid w:val="2FE83639"/>
    <w:rsid w:val="30517430"/>
    <w:rsid w:val="31280191"/>
    <w:rsid w:val="32BF4263"/>
    <w:rsid w:val="33B603F6"/>
    <w:rsid w:val="35133AD1"/>
    <w:rsid w:val="35906305"/>
    <w:rsid w:val="360B4EDC"/>
    <w:rsid w:val="362353CB"/>
    <w:rsid w:val="36F31241"/>
    <w:rsid w:val="37EB1F18"/>
    <w:rsid w:val="38106B4F"/>
    <w:rsid w:val="3AD44EE6"/>
    <w:rsid w:val="3BB70A8F"/>
    <w:rsid w:val="3CE138EA"/>
    <w:rsid w:val="3DD14F43"/>
    <w:rsid w:val="3E267C4F"/>
    <w:rsid w:val="3EF207DB"/>
    <w:rsid w:val="3F360145"/>
    <w:rsid w:val="3F4868B9"/>
    <w:rsid w:val="403F72A5"/>
    <w:rsid w:val="40784565"/>
    <w:rsid w:val="417D62D7"/>
    <w:rsid w:val="422E2D56"/>
    <w:rsid w:val="423D3DE3"/>
    <w:rsid w:val="43E05A11"/>
    <w:rsid w:val="455E1F7C"/>
    <w:rsid w:val="47E17D02"/>
    <w:rsid w:val="4AEF52C3"/>
    <w:rsid w:val="4AFF1B0B"/>
    <w:rsid w:val="4B2652EA"/>
    <w:rsid w:val="4DDE26C9"/>
    <w:rsid w:val="4F493C9D"/>
    <w:rsid w:val="4F950C90"/>
    <w:rsid w:val="5015592D"/>
    <w:rsid w:val="5253098E"/>
    <w:rsid w:val="53874D93"/>
    <w:rsid w:val="543078D7"/>
    <w:rsid w:val="547F60BF"/>
    <w:rsid w:val="55293119"/>
    <w:rsid w:val="558A2919"/>
    <w:rsid w:val="558F6181"/>
    <w:rsid w:val="55BF6453"/>
    <w:rsid w:val="5A010E1A"/>
    <w:rsid w:val="5AFE3C8A"/>
    <w:rsid w:val="5B685CD7"/>
    <w:rsid w:val="5B773940"/>
    <w:rsid w:val="5C5C7996"/>
    <w:rsid w:val="5CDA4186"/>
    <w:rsid w:val="5D804D2D"/>
    <w:rsid w:val="5E1D5B3E"/>
    <w:rsid w:val="5E631F59"/>
    <w:rsid w:val="5F1013D9"/>
    <w:rsid w:val="61E82EA1"/>
    <w:rsid w:val="6232236E"/>
    <w:rsid w:val="62A25A89"/>
    <w:rsid w:val="639F57E1"/>
    <w:rsid w:val="644759E4"/>
    <w:rsid w:val="66C8504F"/>
    <w:rsid w:val="68150768"/>
    <w:rsid w:val="68294213"/>
    <w:rsid w:val="68D4417F"/>
    <w:rsid w:val="692344DB"/>
    <w:rsid w:val="6A040A94"/>
    <w:rsid w:val="6B3E66B1"/>
    <w:rsid w:val="6B753BA5"/>
    <w:rsid w:val="6C5F1FB2"/>
    <w:rsid w:val="6CE818D0"/>
    <w:rsid w:val="6EB8009F"/>
    <w:rsid w:val="6F3A0AB4"/>
    <w:rsid w:val="7036127C"/>
    <w:rsid w:val="71072C18"/>
    <w:rsid w:val="71CD0599"/>
    <w:rsid w:val="724A3DF3"/>
    <w:rsid w:val="726C71D7"/>
    <w:rsid w:val="72D80276"/>
    <w:rsid w:val="73DE4104"/>
    <w:rsid w:val="73F27BAF"/>
    <w:rsid w:val="74C7103C"/>
    <w:rsid w:val="757E794D"/>
    <w:rsid w:val="766E26D2"/>
    <w:rsid w:val="76D90BB3"/>
    <w:rsid w:val="76DF7CA3"/>
    <w:rsid w:val="76E47C83"/>
    <w:rsid w:val="76EF03D6"/>
    <w:rsid w:val="76FF686B"/>
    <w:rsid w:val="77DC3489"/>
    <w:rsid w:val="78342545"/>
    <w:rsid w:val="787B4617"/>
    <w:rsid w:val="7908577F"/>
    <w:rsid w:val="791258F3"/>
    <w:rsid w:val="7B106FFF"/>
    <w:rsid w:val="7B6009A7"/>
    <w:rsid w:val="7CAA7279"/>
    <w:rsid w:val="7E83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font11"/>
    <w:basedOn w:val="6"/>
    <w:qFormat/>
    <w:uiPriority w:val="0"/>
    <w:rPr>
      <w:rFonts w:hint="eastAsia" w:ascii="方正仿宋_GBK" w:eastAsia="方正仿宋_GBK"/>
      <w:color w:val="000000"/>
      <w:sz w:val="32"/>
      <w:szCs w:val="32"/>
      <w:u w:val="none"/>
    </w:rPr>
  </w:style>
  <w:style w:type="character" w:customStyle="1" w:styleId="8">
    <w:name w:val="批注框文本 字符"/>
    <w:basedOn w:val="6"/>
    <w:link w:val="2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Z</Company>
  <Pages>2</Pages>
  <Words>924</Words>
  <Characters>964</Characters>
  <Lines>57</Lines>
  <Paragraphs>69</Paragraphs>
  <TotalTime>0</TotalTime>
  <ScaleCrop>false</ScaleCrop>
  <LinksUpToDate>false</LinksUpToDate>
  <CharactersWithSpaces>1039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2026-04-03T05:29:00Z</dcterms:created>
  <dc:creator>Administrator</dc:creator>
  <cp:lastModifiedBy>WPS_1713142089</cp:lastModifiedBy>
  <cp:lastPrinted>2026-03-03T09:42:00Z</cp:lastPrinted>
  <dcterms:modified xsi:type="dcterms:W3CDTF">2026-04-15T08:58:08Z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C08254396874448387A1EC964C974255_13</vt:lpwstr>
  </property>
  <property fmtid="{D5CDD505-2E9C-101B-9397-08002B2CF9AE}" pid="4" name="KSOTemplateDocerSaveRecord">
    <vt:lpwstr>eyJoZGlkIjoiZjBmYzdmNjkxYzhkZDU0ZDE5ZmExNTA5OWZhMzYzNGIiLCJ1c2VySWQiOiIxNTkzNzE5Mjg0In0=</vt:lpwstr>
  </property>
</Properties>
</file>