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FAFE35">
      <w:pPr>
        <w:jc w:val="left"/>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32"/>
          <w:szCs w:val="32"/>
        </w:rPr>
        <w:t>附件</w:t>
      </w:r>
    </w:p>
    <w:p w14:paraId="54F222D3">
      <w:pPr>
        <w:spacing w:line="560" w:lineRule="exact"/>
        <w:jc w:val="center"/>
        <w:rPr>
          <w:rFonts w:hint="default" w:ascii="Times New Roman" w:hAnsi="Times New Roman" w:eastAsia="黑体" w:cs="Times New Roman"/>
          <w:color w:val="auto"/>
          <w:sz w:val="40"/>
          <w:szCs w:val="32"/>
        </w:rPr>
      </w:pPr>
      <w:r>
        <w:rPr>
          <w:rFonts w:hint="eastAsia" w:ascii="Times New Roman" w:hAnsi="Times New Roman" w:eastAsia="方正小标宋_GBK" w:cs="Times New Roman"/>
          <w:color w:val="000000"/>
          <w:sz w:val="40"/>
          <w:szCs w:val="40"/>
        </w:rPr>
        <w:t>镇江高新区“双高协同”</w:t>
      </w:r>
      <w:r>
        <w:rPr>
          <w:rFonts w:ascii="Times New Roman" w:hAnsi="Times New Roman" w:eastAsia="方正小标宋_GBK" w:cs="Times New Roman"/>
          <w:color w:val="000000"/>
          <w:sz w:val="40"/>
          <w:szCs w:val="40"/>
        </w:rPr>
        <w:t>企业创新需求表</w:t>
      </w:r>
      <w:r>
        <w:rPr>
          <w:rFonts w:hint="eastAsia" w:ascii="Times New Roman" w:hAnsi="Times New Roman" w:eastAsia="方正小标宋_GBK" w:cs="Times New Roman"/>
          <w:color w:val="000000"/>
          <w:sz w:val="40"/>
          <w:szCs w:val="40"/>
          <w:lang w:eastAsia="zh-CN"/>
        </w:rPr>
        <w:t>（第二批）</w:t>
      </w:r>
    </w:p>
    <w:tbl>
      <w:tblPr>
        <w:tblStyle w:val="6"/>
        <w:tblW w:w="90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350"/>
        <w:gridCol w:w="3169"/>
        <w:gridCol w:w="456"/>
        <w:gridCol w:w="1199"/>
        <w:gridCol w:w="507"/>
        <w:gridCol w:w="1698"/>
      </w:tblGrid>
      <w:tr w14:paraId="52A0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980" w:type="dxa"/>
            <w:gridSpan w:val="2"/>
            <w:vAlign w:val="center"/>
          </w:tcPr>
          <w:p w14:paraId="32C2E748">
            <w:pPr>
              <w:jc w:val="center"/>
              <w:rPr>
                <w:rFonts w:hint="default" w:ascii="Times New Roman" w:hAnsi="Times New Roman" w:eastAsia="黑体" w:cs="Times New Roman"/>
                <w:color w:val="auto"/>
                <w:kern w:val="0"/>
                <w:sz w:val="28"/>
                <w:szCs w:val="28"/>
              </w:rPr>
            </w:pPr>
            <w:r>
              <w:rPr>
                <w:rFonts w:hint="default" w:ascii="Times New Roman" w:hAnsi="Times New Roman" w:eastAsia="黑体" w:cs="Times New Roman"/>
                <w:color w:val="auto"/>
                <w:kern w:val="0"/>
                <w:sz w:val="28"/>
                <w:szCs w:val="28"/>
              </w:rPr>
              <w:t>企业名称</w:t>
            </w:r>
          </w:p>
        </w:tc>
        <w:tc>
          <w:tcPr>
            <w:tcW w:w="7029" w:type="dxa"/>
            <w:gridSpan w:val="5"/>
            <w:tcBorders>
              <w:left w:val="nil"/>
            </w:tcBorders>
            <w:vAlign w:val="center"/>
          </w:tcPr>
          <w:p w14:paraId="5A17DC8C">
            <w:pPr>
              <w:jc w:val="center"/>
              <w:rPr>
                <w:rFonts w:hint="default" w:ascii="Times New Roman" w:hAnsi="Times New Roman" w:eastAsia="仿宋_GB2312" w:cs="Times New Roman"/>
                <w:color w:val="auto"/>
                <w:kern w:val="0"/>
                <w:sz w:val="24"/>
                <w:lang w:val="en-US" w:eastAsia="zh-CN"/>
              </w:rPr>
            </w:pPr>
            <w:r>
              <w:rPr>
                <w:rFonts w:hint="eastAsia" w:ascii="微软雅黑" w:hAnsi="微软雅黑" w:eastAsia="微软雅黑" w:cs="微软雅黑"/>
                <w:color w:val="auto"/>
                <w:kern w:val="0"/>
                <w:sz w:val="24"/>
                <w:lang w:val="en-US" w:eastAsia="zh-CN"/>
              </w:rPr>
              <w:t>江苏中智海洋工程装备有限公司</w:t>
            </w:r>
          </w:p>
        </w:tc>
      </w:tr>
      <w:tr w14:paraId="1D0DE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980" w:type="dxa"/>
            <w:gridSpan w:val="2"/>
            <w:vAlign w:val="center"/>
          </w:tcPr>
          <w:p w14:paraId="1A5C0B49">
            <w:pPr>
              <w:jc w:val="center"/>
              <w:rPr>
                <w:rFonts w:hint="default" w:ascii="Times New Roman" w:hAnsi="Times New Roman" w:eastAsia="黑体" w:cs="Times New Roman"/>
                <w:color w:val="auto"/>
                <w:kern w:val="0"/>
                <w:sz w:val="28"/>
                <w:szCs w:val="28"/>
              </w:rPr>
            </w:pPr>
            <w:r>
              <w:rPr>
                <w:rFonts w:hint="default" w:ascii="Times New Roman" w:hAnsi="Times New Roman" w:eastAsia="黑体" w:cs="Times New Roman"/>
                <w:color w:val="auto"/>
                <w:kern w:val="0"/>
                <w:sz w:val="28"/>
                <w:szCs w:val="28"/>
              </w:rPr>
              <w:t>联系人</w:t>
            </w:r>
          </w:p>
        </w:tc>
        <w:tc>
          <w:tcPr>
            <w:tcW w:w="3625" w:type="dxa"/>
            <w:gridSpan w:val="2"/>
            <w:tcBorders>
              <w:left w:val="nil"/>
            </w:tcBorders>
            <w:vAlign w:val="center"/>
          </w:tcPr>
          <w:p w14:paraId="5786788D">
            <w:pPr>
              <w:rPr>
                <w:rFonts w:hint="default" w:ascii="Times New Roman" w:hAnsi="Times New Roman" w:eastAsia="仿宋_GB2312" w:cs="Times New Roman"/>
                <w:color w:val="auto"/>
                <w:kern w:val="0"/>
                <w:sz w:val="24"/>
                <w:lang w:val="en-US" w:eastAsia="zh-CN"/>
              </w:rPr>
            </w:pPr>
            <w:r>
              <w:rPr>
                <w:rFonts w:hint="eastAsia" w:ascii="微软雅黑" w:hAnsi="微软雅黑" w:eastAsia="微软雅黑" w:cs="微软雅黑"/>
                <w:color w:val="auto"/>
                <w:kern w:val="0"/>
                <w:sz w:val="24"/>
                <w:lang w:val="en-US" w:eastAsia="zh-CN"/>
              </w:rPr>
              <w:t>高波</w:t>
            </w:r>
          </w:p>
        </w:tc>
        <w:tc>
          <w:tcPr>
            <w:tcW w:w="1199" w:type="dxa"/>
            <w:vAlign w:val="center"/>
          </w:tcPr>
          <w:p w14:paraId="23B54B62">
            <w:pPr>
              <w:jc w:val="center"/>
              <w:rPr>
                <w:rFonts w:hint="default" w:ascii="Times New Roman" w:hAnsi="Times New Roman" w:eastAsia="黑体" w:cs="Times New Roman"/>
                <w:color w:val="auto"/>
                <w:kern w:val="0"/>
                <w:sz w:val="28"/>
                <w:szCs w:val="28"/>
              </w:rPr>
            </w:pPr>
            <w:r>
              <w:rPr>
                <w:rFonts w:hint="default" w:ascii="Times New Roman" w:hAnsi="Times New Roman" w:eastAsia="黑体" w:cs="Times New Roman"/>
                <w:color w:val="auto"/>
                <w:kern w:val="0"/>
                <w:sz w:val="28"/>
                <w:szCs w:val="28"/>
              </w:rPr>
              <w:t>职务</w:t>
            </w:r>
          </w:p>
        </w:tc>
        <w:tc>
          <w:tcPr>
            <w:tcW w:w="2205" w:type="dxa"/>
            <w:gridSpan w:val="2"/>
            <w:tcBorders>
              <w:left w:val="nil"/>
            </w:tcBorders>
            <w:vAlign w:val="center"/>
          </w:tcPr>
          <w:p w14:paraId="5F2EDF60">
            <w:pPr>
              <w:jc w:val="center"/>
              <w:rPr>
                <w:rFonts w:hint="default" w:ascii="Times New Roman" w:hAnsi="Times New Roman" w:eastAsia="仿宋_GB2312" w:cs="Times New Roman"/>
                <w:color w:val="auto"/>
                <w:kern w:val="0"/>
                <w:sz w:val="24"/>
                <w:lang w:val="en-US" w:eastAsia="zh-CN"/>
              </w:rPr>
            </w:pPr>
            <w:r>
              <w:rPr>
                <w:rFonts w:hint="eastAsia" w:ascii="微软雅黑" w:hAnsi="微软雅黑" w:eastAsia="微软雅黑" w:cs="微软雅黑"/>
                <w:color w:val="auto"/>
                <w:kern w:val="0"/>
                <w:sz w:val="24"/>
                <w:lang w:val="en-US" w:eastAsia="zh-CN"/>
              </w:rPr>
              <w:t>副总经理</w:t>
            </w:r>
          </w:p>
        </w:tc>
      </w:tr>
      <w:tr w14:paraId="3391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980" w:type="dxa"/>
            <w:gridSpan w:val="2"/>
            <w:vAlign w:val="center"/>
          </w:tcPr>
          <w:p w14:paraId="5D2194E6">
            <w:pPr>
              <w:jc w:val="center"/>
              <w:rPr>
                <w:rFonts w:hint="default" w:ascii="Times New Roman" w:hAnsi="Times New Roman" w:eastAsia="黑体" w:cs="Times New Roman"/>
                <w:color w:val="auto"/>
                <w:kern w:val="0"/>
                <w:sz w:val="28"/>
                <w:szCs w:val="28"/>
              </w:rPr>
            </w:pPr>
            <w:r>
              <w:rPr>
                <w:rFonts w:hint="default" w:ascii="Times New Roman" w:hAnsi="Times New Roman" w:eastAsia="黑体" w:cs="Times New Roman"/>
                <w:color w:val="auto"/>
                <w:kern w:val="0"/>
                <w:sz w:val="28"/>
                <w:szCs w:val="28"/>
              </w:rPr>
              <w:t>电子邮箱</w:t>
            </w:r>
          </w:p>
        </w:tc>
        <w:tc>
          <w:tcPr>
            <w:tcW w:w="3625" w:type="dxa"/>
            <w:gridSpan w:val="2"/>
            <w:tcBorders>
              <w:left w:val="nil"/>
            </w:tcBorders>
            <w:vAlign w:val="center"/>
          </w:tcPr>
          <w:p w14:paraId="0D70A1B5">
            <w:pPr>
              <w:rPr>
                <w:rFonts w:hint="default" w:ascii="Times New Roman" w:hAnsi="Times New Roman" w:eastAsia="仿宋_GB2312" w:cs="Times New Roman"/>
                <w:color w:val="auto"/>
                <w:kern w:val="0"/>
                <w:sz w:val="24"/>
              </w:rPr>
            </w:pPr>
            <w:r>
              <w:rPr>
                <w:rFonts w:hint="eastAsia" w:ascii="微软雅黑" w:hAnsi="微软雅黑" w:eastAsia="微软雅黑" w:cs="微软雅黑"/>
                <w:sz w:val="24"/>
                <w:szCs w:val="24"/>
              </w:rPr>
              <w:t>tec@ljsafe.com</w:t>
            </w:r>
          </w:p>
        </w:tc>
        <w:tc>
          <w:tcPr>
            <w:tcW w:w="1199" w:type="dxa"/>
            <w:vAlign w:val="center"/>
          </w:tcPr>
          <w:p w14:paraId="1F93C98A">
            <w:pPr>
              <w:jc w:val="center"/>
              <w:rPr>
                <w:rFonts w:hint="default" w:ascii="Times New Roman" w:hAnsi="Times New Roman" w:eastAsia="黑体" w:cs="Times New Roman"/>
                <w:color w:val="auto"/>
                <w:kern w:val="0"/>
                <w:sz w:val="28"/>
                <w:szCs w:val="28"/>
              </w:rPr>
            </w:pPr>
            <w:r>
              <w:rPr>
                <w:rFonts w:hint="default" w:ascii="Times New Roman" w:hAnsi="Times New Roman" w:eastAsia="黑体" w:cs="Times New Roman"/>
                <w:color w:val="auto"/>
                <w:kern w:val="0"/>
                <w:sz w:val="28"/>
                <w:szCs w:val="28"/>
              </w:rPr>
              <w:t>电话</w:t>
            </w:r>
          </w:p>
        </w:tc>
        <w:tc>
          <w:tcPr>
            <w:tcW w:w="2205" w:type="dxa"/>
            <w:gridSpan w:val="2"/>
            <w:tcBorders>
              <w:left w:val="nil"/>
            </w:tcBorders>
            <w:vAlign w:val="center"/>
          </w:tcPr>
          <w:p w14:paraId="24411A77">
            <w:pPr>
              <w:jc w:val="center"/>
              <w:rPr>
                <w:rFonts w:hint="default" w:ascii="Times New Roman" w:hAnsi="Times New Roman" w:eastAsia="仿宋_GB2312" w:cs="Times New Roman"/>
                <w:color w:val="auto"/>
                <w:kern w:val="0"/>
                <w:sz w:val="24"/>
                <w:lang w:val="en-US" w:eastAsia="zh-CN"/>
              </w:rPr>
            </w:pPr>
            <w:r>
              <w:rPr>
                <w:rFonts w:hint="eastAsia" w:ascii="微软雅黑" w:hAnsi="微软雅黑" w:eastAsia="微软雅黑" w:cs="微软雅黑"/>
                <w:color w:val="auto"/>
                <w:kern w:val="0"/>
                <w:sz w:val="24"/>
                <w:lang w:val="en-US" w:eastAsia="zh-CN"/>
              </w:rPr>
              <w:t>13921591379</w:t>
            </w:r>
          </w:p>
        </w:tc>
      </w:tr>
      <w:tr w14:paraId="60DF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14:paraId="60E6FA25">
            <w:pPr>
              <w:jc w:val="center"/>
              <w:rPr>
                <w:rFonts w:hint="default" w:ascii="Times New Roman" w:hAnsi="Times New Roman" w:eastAsia="黑体" w:cs="Times New Roman"/>
                <w:color w:val="auto"/>
                <w:kern w:val="0"/>
                <w:sz w:val="28"/>
                <w:szCs w:val="28"/>
              </w:rPr>
            </w:pPr>
            <w:r>
              <w:rPr>
                <w:rFonts w:hint="default" w:ascii="Times New Roman" w:hAnsi="Times New Roman" w:eastAsia="黑体" w:cs="Times New Roman"/>
                <w:color w:val="auto"/>
                <w:kern w:val="0"/>
                <w:sz w:val="28"/>
                <w:szCs w:val="28"/>
              </w:rPr>
              <w:t>产业集群</w:t>
            </w:r>
          </w:p>
        </w:tc>
        <w:tc>
          <w:tcPr>
            <w:tcW w:w="7029" w:type="dxa"/>
            <w:gridSpan w:val="5"/>
            <w:tcBorders>
              <w:left w:val="nil"/>
            </w:tcBorders>
            <w:vAlign w:val="center"/>
          </w:tcPr>
          <w:p w14:paraId="14ACEE90">
            <w:pPr>
              <w:spacing w:line="360" w:lineRule="exac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□高端装备制造 □生命健康 □数字经济</w:t>
            </w:r>
          </w:p>
          <w:p w14:paraId="7EBBC310">
            <w:pPr>
              <w:spacing w:line="360" w:lineRule="exact"/>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4"/>
              </w:rPr>
              <w:t xml:space="preserve">□新材料 </w:t>
            </w:r>
            <w:r>
              <w:rPr>
                <w:rFonts w:hint="eastAsia" w:ascii="Times New Roman" w:hAnsi="Times New Roman" w:eastAsia="方正仿宋_GBK" w:cs="Times New Roman"/>
                <w:color w:val="auto"/>
                <w:sz w:val="24"/>
                <w:lang w:eastAsia="zh-CN"/>
              </w:rPr>
              <w:t>☑</w:t>
            </w:r>
            <w:r>
              <w:rPr>
                <w:rFonts w:hint="default" w:ascii="Times New Roman" w:hAnsi="Times New Roman" w:eastAsia="方正仿宋_GBK" w:cs="Times New Roman"/>
                <w:color w:val="auto"/>
                <w:sz w:val="24"/>
              </w:rPr>
              <w:t>其他</w:t>
            </w:r>
          </w:p>
        </w:tc>
      </w:tr>
      <w:tr w14:paraId="0815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tcBorders>
              <w:bottom w:val="single" w:color="auto" w:sz="4" w:space="0"/>
            </w:tcBorders>
            <w:vAlign w:val="center"/>
          </w:tcPr>
          <w:p w14:paraId="1E22CBD9">
            <w:pPr>
              <w:jc w:val="center"/>
              <w:rPr>
                <w:rFonts w:hint="default" w:ascii="Times New Roman" w:hAnsi="Times New Roman" w:eastAsia="黑体" w:cs="Times New Roman"/>
                <w:color w:val="auto"/>
                <w:kern w:val="0"/>
                <w:sz w:val="28"/>
                <w:szCs w:val="28"/>
                <w:lang w:eastAsia="zh-CN"/>
              </w:rPr>
            </w:pPr>
            <w:r>
              <w:rPr>
                <w:rFonts w:hint="default" w:ascii="Times New Roman" w:hAnsi="Times New Roman" w:eastAsia="黑体" w:cs="Times New Roman"/>
                <w:color w:val="auto"/>
                <w:kern w:val="0"/>
                <w:sz w:val="28"/>
                <w:szCs w:val="28"/>
                <w:lang w:eastAsia="zh-CN"/>
              </w:rPr>
              <w:t>重点产业</w:t>
            </w:r>
          </w:p>
        </w:tc>
        <w:tc>
          <w:tcPr>
            <w:tcW w:w="7029" w:type="dxa"/>
            <w:gridSpan w:val="5"/>
            <w:tcBorders>
              <w:left w:val="nil"/>
              <w:bottom w:val="single" w:color="auto" w:sz="4" w:space="0"/>
            </w:tcBorders>
            <w:vAlign w:val="center"/>
          </w:tcPr>
          <w:p w14:paraId="4B394A03">
            <w:pPr>
              <w:spacing w:line="360" w:lineRule="exact"/>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rPr>
              <w:t>□航空航天（</w:t>
            </w:r>
            <w:r>
              <w:rPr>
                <w:rFonts w:hint="default" w:ascii="Times New Roman" w:hAnsi="Times New Roman" w:eastAsia="方正仿宋_GBK" w:cs="Times New Roman"/>
                <w:color w:val="auto"/>
                <w:sz w:val="24"/>
                <w:lang w:eastAsia="zh-CN"/>
              </w:rPr>
              <w:t>含</w:t>
            </w:r>
            <w:r>
              <w:rPr>
                <w:rFonts w:hint="default" w:ascii="Times New Roman" w:hAnsi="Times New Roman" w:eastAsia="方正仿宋_GBK" w:cs="Times New Roman"/>
                <w:color w:val="auto"/>
                <w:sz w:val="24"/>
              </w:rPr>
              <w:t>低空经济）</w:t>
            </w:r>
            <w:r>
              <w:rPr>
                <w:rFonts w:hint="default" w:ascii="Times New Roman" w:hAnsi="Times New Roman" w:eastAsia="方正仿宋_GBK" w:cs="Times New Roman"/>
                <w:color w:val="auto"/>
                <w:sz w:val="24"/>
                <w:lang w:val="en-US" w:eastAsia="zh-CN"/>
              </w:rPr>
              <w:t xml:space="preserve">  </w:t>
            </w:r>
            <w:r>
              <w:rPr>
                <w:rFonts w:hint="default" w:ascii="Times New Roman" w:hAnsi="Times New Roman" w:eastAsia="方正仿宋_GBK" w:cs="Times New Roman"/>
                <w:color w:val="auto"/>
                <w:sz w:val="24"/>
              </w:rPr>
              <w:t>□汽车及零部件（新能源汽车）</w:t>
            </w:r>
          </w:p>
          <w:p w14:paraId="437B5159">
            <w:pPr>
              <w:spacing w:line="360" w:lineRule="exac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□新型电力（新能源）装备</w:t>
            </w:r>
            <w:r>
              <w:rPr>
                <w:rFonts w:hint="default" w:ascii="Times New Roman" w:hAnsi="Times New Roman" w:eastAsia="方正仿宋_GBK" w:cs="Times New Roman"/>
                <w:color w:val="auto"/>
                <w:sz w:val="24"/>
                <w:lang w:eastAsia="zh-CN"/>
              </w:rPr>
              <w:t>（含新型储能与氢能）</w:t>
            </w:r>
            <w:r>
              <w:rPr>
                <w:rFonts w:hint="default" w:ascii="Times New Roman" w:hAnsi="Times New Roman" w:eastAsia="方正仿宋_GBK" w:cs="Times New Roman"/>
                <w:color w:val="auto"/>
                <w:sz w:val="24"/>
              </w:rPr>
              <w:t xml:space="preserve"> </w:t>
            </w:r>
          </w:p>
          <w:p w14:paraId="6247F406">
            <w:pPr>
              <w:spacing w:line="360" w:lineRule="exact"/>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rPr>
              <w:t>□医疗器械和生物医药</w:t>
            </w:r>
            <w:r>
              <w:rPr>
                <w:rFonts w:hint="default" w:ascii="Times New Roman" w:hAnsi="Times New Roman" w:eastAsia="方正仿宋_GBK" w:cs="Times New Roman"/>
                <w:color w:val="auto"/>
                <w:sz w:val="24"/>
                <w:lang w:val="en-US" w:eastAsia="zh-CN"/>
              </w:rPr>
              <w:t xml:space="preserve">      </w:t>
            </w:r>
            <w:r>
              <w:rPr>
                <w:rFonts w:hint="eastAsia" w:ascii="Times New Roman" w:hAnsi="Times New Roman" w:eastAsia="方正仿宋_GBK" w:cs="Times New Roman"/>
                <w:color w:val="auto"/>
                <w:sz w:val="24"/>
                <w:lang w:eastAsia="zh-CN"/>
              </w:rPr>
              <w:t>☑</w:t>
            </w:r>
            <w:r>
              <w:rPr>
                <w:rFonts w:hint="default" w:ascii="Times New Roman" w:hAnsi="Times New Roman" w:eastAsia="方正仿宋_GBK" w:cs="Times New Roman"/>
                <w:color w:val="auto"/>
                <w:sz w:val="24"/>
                <w:lang w:eastAsia="zh-CN"/>
              </w:rPr>
              <w:t>船舶</w:t>
            </w:r>
            <w:r>
              <w:rPr>
                <w:rFonts w:hint="default" w:ascii="Times New Roman" w:hAnsi="Times New Roman" w:eastAsia="方正仿宋_GBK" w:cs="Times New Roman"/>
                <w:color w:val="auto"/>
                <w:sz w:val="24"/>
              </w:rPr>
              <w:t>海工装备</w:t>
            </w:r>
          </w:p>
          <w:p w14:paraId="629863E4">
            <w:pPr>
              <w:spacing w:line="360" w:lineRule="exac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□高性能材料</w:t>
            </w:r>
            <w:r>
              <w:rPr>
                <w:rFonts w:hint="default" w:ascii="Times New Roman" w:hAnsi="Times New Roman" w:eastAsia="方正仿宋_GBK" w:cs="Times New Roman"/>
                <w:color w:val="auto"/>
                <w:sz w:val="24"/>
                <w:lang w:val="en-US" w:eastAsia="zh-CN"/>
              </w:rPr>
              <w:t xml:space="preserve">              </w:t>
            </w:r>
            <w:r>
              <w:rPr>
                <w:rFonts w:hint="default" w:ascii="Times New Roman" w:hAnsi="Times New Roman" w:eastAsia="方正仿宋_GBK" w:cs="Times New Roman"/>
                <w:color w:val="auto"/>
                <w:sz w:val="24"/>
              </w:rPr>
              <w:t xml:space="preserve">□智能农机装备     </w:t>
            </w:r>
          </w:p>
          <w:p w14:paraId="60A8C27E">
            <w:pPr>
              <w:spacing w:line="360" w:lineRule="exac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□新一代信息技术</w:t>
            </w:r>
            <w:r>
              <w:rPr>
                <w:rFonts w:hint="default" w:ascii="Times New Roman" w:hAnsi="Times New Roman" w:eastAsia="方正仿宋_GBK" w:cs="Times New Roman"/>
                <w:color w:val="auto"/>
                <w:sz w:val="24"/>
                <w:lang w:eastAsia="zh-CN"/>
              </w:rPr>
              <w:t>（含人工智能、具身智能和智能终端、脑机接口）</w:t>
            </w:r>
          </w:p>
          <w:p w14:paraId="59B2FCB9">
            <w:pPr>
              <w:spacing w:line="360" w:lineRule="exact"/>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4"/>
              </w:rPr>
              <w:t>□</w:t>
            </w:r>
            <w:r>
              <w:rPr>
                <w:rFonts w:hint="default" w:ascii="Times New Roman" w:hAnsi="Times New Roman" w:eastAsia="方正仿宋_GBK" w:cs="Times New Roman"/>
                <w:color w:val="auto"/>
                <w:sz w:val="24"/>
                <w:lang w:eastAsia="zh-CN"/>
              </w:rPr>
              <w:t>视觉光学</w:t>
            </w:r>
            <w:r>
              <w:rPr>
                <w:rFonts w:hint="default" w:ascii="Times New Roman" w:hAnsi="Times New Roman" w:eastAsia="方正仿宋_GBK" w:cs="Times New Roman"/>
                <w:color w:val="auto"/>
                <w:sz w:val="24"/>
              </w:rPr>
              <w:t xml:space="preserve">  </w:t>
            </w:r>
            <w:r>
              <w:rPr>
                <w:rFonts w:hint="default" w:ascii="Times New Roman" w:hAnsi="Times New Roman" w:eastAsia="方正仿宋_GBK" w:cs="Times New Roman"/>
                <w:color w:val="auto"/>
                <w:sz w:val="24"/>
                <w:lang w:val="en-US" w:eastAsia="zh-CN"/>
              </w:rPr>
              <w:t xml:space="preserve">            </w:t>
            </w:r>
            <w:r>
              <w:rPr>
                <w:rFonts w:hint="default" w:ascii="Times New Roman" w:hAnsi="Times New Roman" w:eastAsia="方正仿宋_GBK" w:cs="Times New Roman"/>
                <w:color w:val="auto"/>
                <w:sz w:val="24"/>
              </w:rPr>
              <w:t xml:space="preserve">  </w:t>
            </w:r>
            <w:r>
              <w:rPr>
                <w:rFonts w:hint="eastAsia" w:ascii="Times New Roman" w:hAnsi="Times New Roman" w:eastAsia="方正仿宋_GBK" w:cs="Times New Roman"/>
                <w:color w:val="auto"/>
                <w:sz w:val="24"/>
                <w:lang w:eastAsia="zh-CN"/>
              </w:rPr>
              <w:t>□</w:t>
            </w:r>
            <w:r>
              <w:rPr>
                <w:rFonts w:hint="default" w:ascii="Times New Roman" w:hAnsi="Times New Roman" w:eastAsia="方正仿宋_GBK" w:cs="Times New Roman"/>
                <w:color w:val="auto"/>
                <w:sz w:val="24"/>
              </w:rPr>
              <w:t>其他</w:t>
            </w:r>
          </w:p>
        </w:tc>
      </w:tr>
      <w:tr w14:paraId="00E8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980" w:type="dxa"/>
            <w:gridSpan w:val="2"/>
            <w:tcBorders>
              <w:bottom w:val="single" w:color="auto" w:sz="4" w:space="0"/>
            </w:tcBorders>
            <w:vAlign w:val="center"/>
          </w:tcPr>
          <w:p w14:paraId="586A0027">
            <w:pPr>
              <w:jc w:val="center"/>
              <w:rPr>
                <w:rFonts w:hint="default" w:ascii="Times New Roman" w:hAnsi="Times New Roman" w:eastAsia="黑体" w:cs="Times New Roman"/>
                <w:color w:val="auto"/>
                <w:kern w:val="0"/>
                <w:sz w:val="28"/>
                <w:szCs w:val="28"/>
              </w:rPr>
            </w:pPr>
            <w:r>
              <w:rPr>
                <w:rFonts w:hint="default" w:ascii="Times New Roman" w:hAnsi="Times New Roman" w:eastAsia="黑体" w:cs="Times New Roman"/>
                <w:color w:val="auto"/>
                <w:kern w:val="0"/>
                <w:sz w:val="28"/>
                <w:szCs w:val="28"/>
              </w:rPr>
              <w:t>主营产品</w:t>
            </w:r>
          </w:p>
        </w:tc>
        <w:tc>
          <w:tcPr>
            <w:tcW w:w="7029" w:type="dxa"/>
            <w:gridSpan w:val="5"/>
            <w:tcBorders>
              <w:left w:val="nil"/>
              <w:bottom w:val="single" w:color="auto" w:sz="4" w:space="0"/>
            </w:tcBorders>
            <w:vAlign w:val="center"/>
          </w:tcPr>
          <w:p w14:paraId="2DEFB6DA">
            <w:pPr>
              <w:jc w:val="center"/>
              <w:rPr>
                <w:rFonts w:hint="default" w:ascii="Times New Roman" w:hAnsi="Times New Roman" w:eastAsia="仿宋_GB2312" w:cs="Times New Roman"/>
                <w:color w:val="auto"/>
                <w:kern w:val="0"/>
                <w:sz w:val="24"/>
              </w:rPr>
            </w:pPr>
            <w:r>
              <w:rPr>
                <w:rFonts w:hint="eastAsia" w:ascii="微软雅黑" w:hAnsi="微软雅黑" w:eastAsia="微软雅黑" w:cs="微软雅黑"/>
                <w:color w:val="auto"/>
                <w:kern w:val="0"/>
                <w:sz w:val="24"/>
              </w:rPr>
              <w:t>船用新能源动力、智能消防救生、船舶电气与网络安全三大系列装备</w:t>
            </w:r>
          </w:p>
        </w:tc>
      </w:tr>
      <w:tr w14:paraId="5317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980" w:type="dxa"/>
            <w:gridSpan w:val="2"/>
            <w:tcBorders>
              <w:top w:val="single" w:color="auto" w:sz="4" w:space="0"/>
              <w:left w:val="nil"/>
              <w:bottom w:val="single" w:color="auto" w:sz="4" w:space="0"/>
              <w:right w:val="nil"/>
            </w:tcBorders>
            <w:vAlign w:val="center"/>
          </w:tcPr>
          <w:p w14:paraId="6026CEFA">
            <w:pPr>
              <w:rPr>
                <w:rFonts w:hint="default" w:ascii="Times New Roman" w:hAnsi="Times New Roman" w:eastAsia="仿宋_GB2312" w:cs="Times New Roman"/>
                <w:color w:val="auto"/>
                <w:kern w:val="0"/>
                <w:sz w:val="13"/>
                <w:szCs w:val="13"/>
              </w:rPr>
            </w:pPr>
          </w:p>
        </w:tc>
        <w:tc>
          <w:tcPr>
            <w:tcW w:w="7029" w:type="dxa"/>
            <w:gridSpan w:val="5"/>
            <w:tcBorders>
              <w:top w:val="single" w:color="auto" w:sz="4" w:space="0"/>
              <w:left w:val="nil"/>
              <w:bottom w:val="single" w:color="auto" w:sz="4" w:space="0"/>
              <w:right w:val="nil"/>
            </w:tcBorders>
            <w:vAlign w:val="center"/>
          </w:tcPr>
          <w:p w14:paraId="2E363DFC">
            <w:pPr>
              <w:rPr>
                <w:rFonts w:hint="default" w:ascii="Times New Roman" w:hAnsi="Times New Roman" w:eastAsia="仿宋_GB2312" w:cs="Times New Roman"/>
                <w:color w:val="auto"/>
                <w:kern w:val="0"/>
                <w:sz w:val="13"/>
                <w:szCs w:val="13"/>
              </w:rPr>
            </w:pPr>
          </w:p>
        </w:tc>
      </w:tr>
      <w:tr w14:paraId="0C52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980" w:type="dxa"/>
            <w:gridSpan w:val="2"/>
            <w:vAlign w:val="center"/>
          </w:tcPr>
          <w:p w14:paraId="587660F7">
            <w:pPr>
              <w:jc w:val="center"/>
              <w:rPr>
                <w:rFonts w:hint="default" w:ascii="Times New Roman" w:hAnsi="Times New Roman" w:eastAsia="黑体" w:cs="Times New Roman"/>
                <w:b/>
                <w:bCs/>
                <w:color w:val="auto"/>
                <w:sz w:val="24"/>
              </w:rPr>
            </w:pPr>
            <w:r>
              <w:rPr>
                <w:rFonts w:hint="default" w:ascii="Times New Roman" w:hAnsi="Times New Roman" w:eastAsia="黑体" w:cs="Times New Roman"/>
                <w:bCs/>
                <w:color w:val="auto"/>
                <w:sz w:val="28"/>
                <w:szCs w:val="28"/>
              </w:rPr>
              <w:t>技术需求名称</w:t>
            </w:r>
          </w:p>
        </w:tc>
        <w:tc>
          <w:tcPr>
            <w:tcW w:w="7029" w:type="dxa"/>
            <w:gridSpan w:val="5"/>
          </w:tcPr>
          <w:p w14:paraId="192B1B23">
            <w:pPr>
              <w:rPr>
                <w:rFonts w:hint="default" w:ascii="Times New Roman" w:hAnsi="Times New Roman" w:eastAsia="仿宋_GB2312" w:cs="Times New Roman"/>
                <w:color w:val="auto"/>
                <w:sz w:val="24"/>
                <w:lang w:val="en-US" w:eastAsia="zh-CN"/>
              </w:rPr>
            </w:pPr>
            <w:r>
              <w:rPr>
                <w:rFonts w:hint="eastAsia" w:ascii="微软雅黑" w:hAnsi="微软雅黑" w:eastAsia="微软雅黑" w:cs="微软雅黑"/>
                <w:color w:val="auto"/>
                <w:sz w:val="24"/>
                <w:lang w:val="en-US" w:eastAsia="zh-CN"/>
              </w:rPr>
              <w:t>面向智能船舶船内网络的内生安全防护与跨域远程可信身份认证关键技术研发</w:t>
            </w:r>
          </w:p>
        </w:tc>
      </w:tr>
      <w:tr w14:paraId="1934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980" w:type="dxa"/>
            <w:gridSpan w:val="2"/>
            <w:tcBorders>
              <w:bottom w:val="single" w:color="auto" w:sz="4" w:space="0"/>
            </w:tcBorders>
            <w:vAlign w:val="center"/>
          </w:tcPr>
          <w:p w14:paraId="550B116E">
            <w:pPr>
              <w:snapToGrid w:val="0"/>
              <w:jc w:val="center"/>
              <w:rPr>
                <w:rFonts w:hint="default" w:ascii="Times New Roman" w:hAnsi="Times New Roman" w:eastAsia="黑体" w:cs="Times New Roman"/>
                <w:bCs/>
                <w:color w:val="auto"/>
                <w:sz w:val="28"/>
                <w:szCs w:val="28"/>
              </w:rPr>
            </w:pPr>
            <w:r>
              <w:rPr>
                <w:rFonts w:hint="default" w:ascii="Times New Roman" w:hAnsi="Times New Roman" w:eastAsia="黑体" w:cs="Times New Roman"/>
                <w:bCs/>
                <w:color w:val="auto"/>
                <w:sz w:val="28"/>
                <w:szCs w:val="28"/>
              </w:rPr>
              <w:t>项目总投入</w:t>
            </w:r>
          </w:p>
          <w:p w14:paraId="61145BE5">
            <w:pPr>
              <w:snapToGrid w:val="0"/>
              <w:jc w:val="center"/>
              <w:rPr>
                <w:rFonts w:hint="default" w:ascii="Times New Roman" w:hAnsi="Times New Roman" w:eastAsia="黑体" w:cs="Times New Roman"/>
                <w:bCs/>
                <w:color w:val="auto"/>
                <w:sz w:val="28"/>
                <w:szCs w:val="28"/>
              </w:rPr>
            </w:pPr>
            <w:r>
              <w:rPr>
                <w:rFonts w:hint="default" w:ascii="Times New Roman" w:hAnsi="Times New Roman" w:eastAsia="黑体" w:cs="Times New Roman"/>
                <w:bCs/>
                <w:color w:val="auto"/>
                <w:sz w:val="28"/>
                <w:szCs w:val="28"/>
              </w:rPr>
              <w:t>（万元）</w:t>
            </w:r>
          </w:p>
        </w:tc>
        <w:tc>
          <w:tcPr>
            <w:tcW w:w="7029" w:type="dxa"/>
            <w:gridSpan w:val="5"/>
            <w:tcBorders>
              <w:bottom w:val="single" w:color="auto" w:sz="4" w:space="0"/>
            </w:tcBorders>
          </w:tcPr>
          <w:p w14:paraId="1C5C548F">
            <w:pPr>
              <w:snapToGrid w:val="0"/>
              <w:rPr>
                <w:rFonts w:hint="default" w:ascii="Times New Roman" w:hAnsi="Times New Roman" w:eastAsia="仿宋_GB2312" w:cs="Times New Roman"/>
                <w:b w:val="0"/>
                <w:bCs w:val="0"/>
                <w:color w:val="auto"/>
                <w:sz w:val="24"/>
                <w:lang w:val="en-US" w:eastAsia="zh-CN"/>
              </w:rPr>
            </w:pPr>
            <w:r>
              <w:rPr>
                <w:rFonts w:hint="eastAsia" w:ascii="微软雅黑" w:hAnsi="微软雅黑" w:eastAsia="微软雅黑" w:cs="微软雅黑"/>
                <w:b w:val="0"/>
                <w:bCs w:val="0"/>
                <w:color w:val="auto"/>
                <w:sz w:val="24"/>
                <w:lang w:val="en-US" w:eastAsia="zh-CN"/>
              </w:rPr>
              <w:t>1600</w:t>
            </w:r>
          </w:p>
        </w:tc>
      </w:tr>
      <w:tr w14:paraId="08A9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630" w:type="dxa"/>
            <w:vMerge w:val="restart"/>
            <w:vAlign w:val="center"/>
          </w:tcPr>
          <w:p w14:paraId="2DB0D036">
            <w:pPr>
              <w:jc w:val="center"/>
              <w:rPr>
                <w:rFonts w:hint="default" w:ascii="Times New Roman" w:hAnsi="Times New Roman" w:eastAsia="仿宋_GB2312" w:cs="Times New Roman"/>
                <w:color w:val="auto"/>
                <w:kern w:val="0"/>
                <w:sz w:val="24"/>
              </w:rPr>
            </w:pPr>
            <w:r>
              <w:rPr>
                <w:rFonts w:hint="default" w:ascii="Times New Roman" w:hAnsi="Times New Roman" w:eastAsia="黑体" w:cs="Times New Roman"/>
                <w:bCs/>
                <w:color w:val="auto"/>
                <w:sz w:val="28"/>
                <w:szCs w:val="28"/>
              </w:rPr>
              <w:t>技术需求情况说明</w:t>
            </w:r>
          </w:p>
        </w:tc>
        <w:tc>
          <w:tcPr>
            <w:tcW w:w="1350" w:type="dxa"/>
            <w:tcBorders>
              <w:left w:val="nil"/>
              <w:bottom w:val="single" w:color="auto" w:sz="4" w:space="0"/>
            </w:tcBorders>
            <w:vAlign w:val="center"/>
          </w:tcPr>
          <w:p w14:paraId="26CCF63C">
            <w:pPr>
              <w:jc w:val="center"/>
              <w:rPr>
                <w:rFonts w:hint="default" w:ascii="Times New Roman" w:hAnsi="Times New Roman" w:eastAsia="黑体" w:cs="Times New Roman"/>
                <w:color w:val="auto"/>
                <w:kern w:val="0"/>
                <w:sz w:val="28"/>
                <w:szCs w:val="28"/>
              </w:rPr>
            </w:pPr>
            <w:r>
              <w:rPr>
                <w:rFonts w:hint="default" w:ascii="Times New Roman" w:hAnsi="Times New Roman" w:eastAsia="黑体" w:cs="Times New Roman"/>
                <w:color w:val="auto"/>
                <w:kern w:val="0"/>
                <w:sz w:val="28"/>
                <w:szCs w:val="28"/>
              </w:rPr>
              <w:t>应用场景</w:t>
            </w:r>
          </w:p>
        </w:tc>
        <w:tc>
          <w:tcPr>
            <w:tcW w:w="7029" w:type="dxa"/>
            <w:gridSpan w:val="5"/>
            <w:tcBorders>
              <w:left w:val="nil"/>
              <w:bottom w:val="single" w:color="auto" w:sz="4" w:space="0"/>
            </w:tcBorders>
          </w:tcPr>
          <w:p w14:paraId="2CBD9495">
            <w:pPr>
              <w:snapToGrid w:val="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（主要阐述通过项目的解决，可实现的场景应用）</w:t>
            </w:r>
          </w:p>
          <w:p w14:paraId="54EF1924">
            <w:pPr>
              <w:snapToGrid w:val="0"/>
              <w:spacing w:line="240" w:lineRule="auto"/>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rPr>
              <w:t>随着智能船舶向远程运维、船岸协同和自主航行发展，在IMO、IACS及CCS等规范要求持续强化的背景下，船舶网络系统正由相对封闭环境向“船内多子系统—船岸链路—岸基平台”协同环境演进。受高时延、低带宽、易断链，以及IT/OT深度融合、遗留设备长期运行等因素影响，传统静态边界防护已难以满足实际需求。通过本项目研究，拟突破船内纵深防护、远程可信接入、多源智能检测和高保真数字孪生验证等关键技术，构建船内网络内生安全防御核心系统和网络攻防验证平台，实现远程运维安全接入、跨子系统安全通信、异常预警、典型攻击复现与效能评估等场景应用，形成可用于系统测试、规则符合性验证和实船示范的工程化解决方案</w:t>
            </w:r>
            <w:r>
              <w:rPr>
                <w:rFonts w:hint="eastAsia" w:ascii="微软雅黑" w:hAnsi="微软雅黑" w:eastAsia="微软雅黑" w:cs="微软雅黑"/>
                <w:sz w:val="24"/>
                <w:szCs w:val="24"/>
                <w:lang w:eastAsia="zh-CN"/>
              </w:rPr>
              <w:t>。</w:t>
            </w:r>
          </w:p>
          <w:p w14:paraId="02BE3116">
            <w:pPr>
              <w:snapToGrid w:val="0"/>
              <w:rPr>
                <w:rFonts w:hint="eastAsia" w:ascii="微软雅黑" w:hAnsi="微软雅黑" w:eastAsia="微软雅黑" w:cs="微软雅黑"/>
                <w:color w:val="auto"/>
                <w:sz w:val="24"/>
              </w:rPr>
            </w:pPr>
          </w:p>
          <w:p w14:paraId="1E57F00F">
            <w:pPr>
              <w:snapToGrid w:val="0"/>
              <w:rPr>
                <w:rFonts w:hint="default" w:ascii="Times New Roman" w:hAnsi="Times New Roman" w:eastAsia="方正仿宋_GBK" w:cs="Times New Roman"/>
                <w:color w:val="auto"/>
                <w:sz w:val="24"/>
              </w:rPr>
            </w:pPr>
          </w:p>
        </w:tc>
      </w:tr>
      <w:tr w14:paraId="7AABD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3" w:hRule="atLeast"/>
          <w:jc w:val="center"/>
        </w:trPr>
        <w:tc>
          <w:tcPr>
            <w:tcW w:w="630" w:type="dxa"/>
            <w:vMerge w:val="continue"/>
            <w:vAlign w:val="center"/>
          </w:tcPr>
          <w:p w14:paraId="7DB22C06">
            <w:pPr>
              <w:rPr>
                <w:rFonts w:hint="default" w:ascii="Times New Roman" w:hAnsi="Times New Roman" w:eastAsia="仿宋_GB2312" w:cs="Times New Roman"/>
                <w:color w:val="auto"/>
                <w:kern w:val="0"/>
                <w:sz w:val="24"/>
              </w:rPr>
            </w:pPr>
          </w:p>
        </w:tc>
        <w:tc>
          <w:tcPr>
            <w:tcW w:w="1350" w:type="dxa"/>
            <w:tcBorders>
              <w:left w:val="nil"/>
              <w:bottom w:val="single" w:color="auto" w:sz="4" w:space="0"/>
            </w:tcBorders>
            <w:vAlign w:val="center"/>
          </w:tcPr>
          <w:p w14:paraId="53EA8900">
            <w:pPr>
              <w:jc w:val="center"/>
              <w:rPr>
                <w:rFonts w:hint="default" w:ascii="Times New Roman" w:hAnsi="Times New Roman" w:eastAsia="黑体" w:cs="Times New Roman"/>
                <w:color w:val="auto"/>
                <w:kern w:val="0"/>
                <w:sz w:val="28"/>
                <w:szCs w:val="28"/>
              </w:rPr>
            </w:pPr>
            <w:r>
              <w:rPr>
                <w:rFonts w:hint="default" w:ascii="Times New Roman" w:hAnsi="Times New Roman" w:eastAsia="黑体" w:cs="Times New Roman"/>
                <w:color w:val="auto"/>
                <w:kern w:val="0"/>
                <w:sz w:val="28"/>
                <w:szCs w:val="28"/>
              </w:rPr>
              <w:t>研究内容</w:t>
            </w:r>
          </w:p>
        </w:tc>
        <w:tc>
          <w:tcPr>
            <w:tcW w:w="7029" w:type="dxa"/>
            <w:gridSpan w:val="5"/>
            <w:tcBorders>
              <w:left w:val="nil"/>
              <w:bottom w:val="single" w:color="auto" w:sz="4" w:space="0"/>
            </w:tcBorders>
            <w:vAlign w:val="top"/>
          </w:tcPr>
          <w:p w14:paraId="37163E00">
            <w:pPr>
              <w:snapToGrid w:val="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（项目研究内容，主要描述实现研究目标的载体，或者是研究目标的具体化。） </w:t>
            </w:r>
          </w:p>
          <w:p w14:paraId="493B8715">
            <w:pPr>
              <w:snapToGrid w:val="0"/>
              <w:ind w:firstLine="480" w:firstLineChars="200"/>
              <w:rPr>
                <w:rFonts w:hint="default" w:ascii="Times New Roman" w:hAnsi="Times New Roman" w:eastAsia="方正仿宋_GBK" w:cs="Times New Roman"/>
                <w:color w:val="auto"/>
                <w:sz w:val="24"/>
              </w:rPr>
            </w:pPr>
            <w:r>
              <w:rPr>
                <w:rFonts w:hint="eastAsia" w:ascii="微软雅黑" w:hAnsi="微软雅黑" w:eastAsia="微软雅黑" w:cs="微软雅黑"/>
                <w:sz w:val="24"/>
                <w:szCs w:val="24"/>
              </w:rPr>
              <w:t>以船内网络内生安全防御核心系统和面向智能船舶的网络攻防验证平台为载体，围绕船舶通信威胁分析与船内安全通信架构设计、船岸协同运维中远程可信接入与细粒度安全控制、船载多源安全数据协同分析与智能异常检测、高保真数字孪生驱动的攻防验证与评估、系统集成与典型场景示范验证等内容开展研究。系统需具备船内网络分域隔离与受控互联、异构协议安全通信、设备指纹识别、轻量级零知识身份认证、一次一密滚动会话密钥、属性基细粒度访问控制、多源数据融合感知、异常检测与威胁推理、典型攻击场景复现、防护效果评估以及实船/半实物联调验证等功能，实现弱连接环境下远程运维安全接入、跨子系统安全通信、异常预警与工程化应用。</w:t>
            </w:r>
          </w:p>
        </w:tc>
      </w:tr>
      <w:tr w14:paraId="6B4F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9" w:hRule="atLeast"/>
          <w:jc w:val="center"/>
        </w:trPr>
        <w:tc>
          <w:tcPr>
            <w:tcW w:w="630" w:type="dxa"/>
            <w:vMerge w:val="continue"/>
            <w:tcBorders>
              <w:bottom w:val="single" w:color="auto" w:sz="4" w:space="0"/>
            </w:tcBorders>
            <w:vAlign w:val="center"/>
          </w:tcPr>
          <w:p w14:paraId="3C09A395">
            <w:pPr>
              <w:snapToGrid w:val="0"/>
              <w:rPr>
                <w:rFonts w:hint="default" w:ascii="Times New Roman" w:hAnsi="Times New Roman" w:eastAsia="仿宋_GB2312" w:cs="Times New Roman"/>
                <w:color w:val="auto"/>
                <w:kern w:val="0"/>
                <w:sz w:val="24"/>
              </w:rPr>
            </w:pPr>
          </w:p>
        </w:tc>
        <w:tc>
          <w:tcPr>
            <w:tcW w:w="1350" w:type="dxa"/>
            <w:tcBorders>
              <w:left w:val="nil"/>
              <w:bottom w:val="single" w:color="auto" w:sz="4" w:space="0"/>
            </w:tcBorders>
            <w:vAlign w:val="center"/>
          </w:tcPr>
          <w:p w14:paraId="40F17879">
            <w:pPr>
              <w:jc w:val="center"/>
              <w:rPr>
                <w:rFonts w:hint="default" w:ascii="Times New Roman" w:hAnsi="Times New Roman" w:eastAsia="黑体" w:cs="Times New Roman"/>
                <w:color w:val="auto"/>
                <w:kern w:val="0"/>
                <w:sz w:val="28"/>
                <w:szCs w:val="28"/>
              </w:rPr>
            </w:pPr>
            <w:r>
              <w:rPr>
                <w:rFonts w:hint="default" w:ascii="Times New Roman" w:hAnsi="Times New Roman" w:eastAsia="黑体" w:cs="Times New Roman"/>
                <w:color w:val="auto"/>
                <w:kern w:val="0"/>
                <w:sz w:val="28"/>
                <w:szCs w:val="28"/>
              </w:rPr>
              <w:t>关键</w:t>
            </w:r>
          </w:p>
          <w:p w14:paraId="57B36758">
            <w:pPr>
              <w:jc w:val="center"/>
              <w:rPr>
                <w:rFonts w:hint="default" w:ascii="Times New Roman" w:hAnsi="Times New Roman" w:eastAsia="黑体" w:cs="Times New Roman"/>
                <w:color w:val="auto"/>
                <w:kern w:val="0"/>
                <w:sz w:val="24"/>
              </w:rPr>
            </w:pPr>
            <w:r>
              <w:rPr>
                <w:rFonts w:hint="default" w:ascii="Times New Roman" w:hAnsi="Times New Roman" w:eastAsia="黑体" w:cs="Times New Roman"/>
                <w:color w:val="auto"/>
                <w:kern w:val="0"/>
                <w:sz w:val="28"/>
                <w:szCs w:val="28"/>
              </w:rPr>
              <w:t>技术指标</w:t>
            </w:r>
          </w:p>
        </w:tc>
        <w:tc>
          <w:tcPr>
            <w:tcW w:w="7029" w:type="dxa"/>
            <w:gridSpan w:val="5"/>
            <w:tcBorders>
              <w:left w:val="nil"/>
              <w:bottom w:val="single" w:color="auto" w:sz="4" w:space="0"/>
            </w:tcBorders>
          </w:tcPr>
          <w:p w14:paraId="049AA071">
            <w:pPr>
              <w:snapToGrid w:val="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（指标参数情况，不少于3条，限200字以内）</w:t>
            </w:r>
          </w:p>
          <w:p w14:paraId="7CD20FBC">
            <w:pPr>
              <w:keepNext w:val="0"/>
              <w:keepLines w:val="0"/>
              <w:widowControl/>
              <w:numPr>
                <w:ilvl w:val="0"/>
                <w:numId w:val="1"/>
              </w:numPr>
              <w:suppressLineNumbers w:val="0"/>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形成船内网络内生安全防御核心系统1套，支持不少于5类典型船载核心系统接入与建模； </w:t>
            </w:r>
          </w:p>
          <w:p w14:paraId="06CE0AF8">
            <w:pPr>
              <w:keepNext w:val="0"/>
              <w:keepLines w:val="0"/>
              <w:widowControl/>
              <w:numPr>
                <w:ilvl w:val="0"/>
                <w:numId w:val="1"/>
              </w:numPr>
              <w:suppressLineNumbers w:val="0"/>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 可复现不少于10类典型攻击场景； </w:t>
            </w:r>
          </w:p>
          <w:p w14:paraId="5EFA9CCE">
            <w:pPr>
              <w:keepNext w:val="0"/>
              <w:keepLines w:val="0"/>
              <w:widowControl/>
              <w:numPr>
                <w:ilvl w:val="0"/>
                <w:numId w:val="1"/>
              </w:numPr>
              <w:suppressLineNumbers w:val="0"/>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平台关键安全服务业务可用性SLA＞99.9%； </w:t>
            </w:r>
          </w:p>
          <w:p w14:paraId="6A44E2B0">
            <w:pPr>
              <w:keepNext w:val="0"/>
              <w:keepLines w:val="0"/>
              <w:widowControl/>
              <w:numPr>
                <w:ilvl w:val="0"/>
                <w:numId w:val="1"/>
              </w:numPr>
              <w:suppressLineNumbers w:val="0"/>
              <w:rPr>
                <w:rFonts w:hint="eastAsia" w:ascii="微软雅黑" w:hAnsi="微软雅黑" w:eastAsia="微软雅黑" w:cs="微软雅黑"/>
                <w:sz w:val="24"/>
                <w:szCs w:val="24"/>
              </w:rPr>
            </w:pPr>
            <w:r>
              <w:rPr>
                <w:rFonts w:hint="eastAsia" w:ascii="微软雅黑" w:hAnsi="微软雅黑" w:eastAsia="微软雅黑" w:cs="微软雅黑"/>
                <w:sz w:val="24"/>
                <w:szCs w:val="24"/>
              </w:rPr>
              <w:t>弱连接场景下关键数据传输准确率＞99%，安全事件检测准确率＞90%；</w:t>
            </w:r>
            <w:r>
              <w:rPr>
                <w:rFonts w:hint="eastAsia" w:ascii="微软雅黑" w:hAnsi="微软雅黑" w:eastAsia="微软雅黑" w:cs="微软雅黑"/>
                <w:sz w:val="24"/>
                <w:szCs w:val="24"/>
                <w:lang w:val="en-US" w:eastAsia="zh-CN"/>
              </w:rPr>
              <w:t>5、</w:t>
            </w:r>
            <w:r>
              <w:rPr>
                <w:rFonts w:hint="eastAsia" w:ascii="微软雅黑" w:hAnsi="微软雅黑" w:eastAsia="微软雅黑" w:cs="微软雅黑"/>
                <w:sz w:val="24"/>
                <w:szCs w:val="24"/>
              </w:rPr>
              <w:t>典型异常场景下关键业务恢复成功率＞95%。</w:t>
            </w:r>
          </w:p>
          <w:p w14:paraId="7407F21C">
            <w:pPr>
              <w:snapToGrid w:val="0"/>
              <w:rPr>
                <w:rFonts w:hint="default" w:ascii="Times New Roman" w:hAnsi="Times New Roman" w:eastAsia="仿宋_GB2312" w:cs="Times New Roman"/>
                <w:color w:val="auto"/>
                <w:kern w:val="0"/>
                <w:sz w:val="24"/>
              </w:rPr>
            </w:pPr>
          </w:p>
        </w:tc>
      </w:tr>
      <w:tr w14:paraId="61FB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980" w:type="dxa"/>
            <w:gridSpan w:val="2"/>
            <w:tcBorders>
              <w:bottom w:val="single" w:color="auto" w:sz="4" w:space="0"/>
            </w:tcBorders>
            <w:vAlign w:val="center"/>
          </w:tcPr>
          <w:p w14:paraId="771D7BF4">
            <w:pPr>
              <w:spacing w:line="360" w:lineRule="exact"/>
              <w:jc w:val="center"/>
              <w:rPr>
                <w:rFonts w:hint="default" w:ascii="Times New Roman" w:hAnsi="Times New Roman" w:eastAsia="黑体" w:cs="Times New Roman"/>
                <w:bCs/>
                <w:color w:val="auto"/>
                <w:sz w:val="28"/>
                <w:szCs w:val="28"/>
              </w:rPr>
            </w:pPr>
            <w:r>
              <w:rPr>
                <w:rFonts w:hint="default" w:ascii="Times New Roman" w:hAnsi="Times New Roman" w:eastAsia="黑体" w:cs="Times New Roman"/>
                <w:bCs/>
                <w:color w:val="auto"/>
                <w:sz w:val="28"/>
                <w:szCs w:val="28"/>
              </w:rPr>
              <w:t>技术需求类别</w:t>
            </w:r>
          </w:p>
        </w:tc>
        <w:tc>
          <w:tcPr>
            <w:tcW w:w="7029" w:type="dxa"/>
            <w:gridSpan w:val="5"/>
            <w:tcBorders>
              <w:left w:val="nil"/>
              <w:bottom w:val="single" w:color="auto" w:sz="4" w:space="0"/>
            </w:tcBorders>
            <w:vAlign w:val="center"/>
          </w:tcPr>
          <w:p w14:paraId="34BEAF4F">
            <w:pPr>
              <w:spacing w:line="360" w:lineRule="exac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□新产品研发 □产品升级换代 □生产线技术改造</w:t>
            </w:r>
          </w:p>
          <w:p w14:paraId="1CE08192">
            <w:pPr>
              <w:spacing w:line="360" w:lineRule="exact"/>
              <w:rPr>
                <w:rFonts w:hint="default" w:ascii="Times New Roman" w:hAnsi="Times New Roman" w:eastAsia="方正仿宋_GBK" w:cs="Times New Roman"/>
                <w:b/>
                <w:bCs/>
                <w:color w:val="auto"/>
                <w:sz w:val="24"/>
              </w:rPr>
            </w:pPr>
            <w:r>
              <w:rPr>
                <w:rFonts w:hint="default" w:ascii="Times New Roman" w:hAnsi="Times New Roman" w:eastAsia="方正仿宋_GBK" w:cs="Times New Roman"/>
                <w:color w:val="auto"/>
                <w:sz w:val="24"/>
              </w:rPr>
              <w:t xml:space="preserve">□制造工艺改进 □制造装备改进 </w:t>
            </w:r>
            <w:r>
              <w:rPr>
                <w:rFonts w:hint="eastAsia" w:ascii="Times New Roman" w:hAnsi="Times New Roman" w:eastAsia="方正仿宋_GBK" w:cs="Times New Roman"/>
                <w:color w:val="auto"/>
                <w:sz w:val="24"/>
                <w:lang w:eastAsia="zh-CN"/>
              </w:rPr>
              <w:t>☑</w:t>
            </w:r>
            <w:r>
              <w:rPr>
                <w:rFonts w:hint="default" w:ascii="Times New Roman" w:hAnsi="Times New Roman" w:eastAsia="方正仿宋_GBK" w:cs="Times New Roman"/>
                <w:color w:val="auto"/>
                <w:sz w:val="24"/>
              </w:rPr>
              <w:t>其他</w:t>
            </w:r>
          </w:p>
        </w:tc>
      </w:tr>
      <w:tr w14:paraId="5E9D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1980" w:type="dxa"/>
            <w:gridSpan w:val="2"/>
            <w:tcBorders>
              <w:bottom w:val="single" w:color="auto" w:sz="4" w:space="0"/>
            </w:tcBorders>
            <w:vAlign w:val="center"/>
          </w:tcPr>
          <w:p w14:paraId="5C13EF99">
            <w:pPr>
              <w:spacing w:line="360" w:lineRule="exact"/>
              <w:jc w:val="center"/>
              <w:rPr>
                <w:rFonts w:hint="default" w:ascii="Times New Roman" w:hAnsi="Times New Roman" w:eastAsia="黑体" w:cs="Times New Roman"/>
                <w:bCs/>
                <w:color w:val="auto"/>
                <w:sz w:val="28"/>
                <w:szCs w:val="28"/>
              </w:rPr>
            </w:pPr>
            <w:r>
              <w:rPr>
                <w:rFonts w:hint="default" w:ascii="Times New Roman" w:hAnsi="Times New Roman" w:eastAsia="黑体" w:cs="Times New Roman"/>
                <w:bCs/>
                <w:color w:val="auto"/>
                <w:sz w:val="28"/>
                <w:szCs w:val="28"/>
              </w:rPr>
              <w:t>意向合作方式</w:t>
            </w:r>
          </w:p>
        </w:tc>
        <w:tc>
          <w:tcPr>
            <w:tcW w:w="7029" w:type="dxa"/>
            <w:gridSpan w:val="5"/>
            <w:tcBorders>
              <w:left w:val="nil"/>
              <w:bottom w:val="single" w:color="auto" w:sz="4" w:space="0"/>
            </w:tcBorders>
            <w:vAlign w:val="center"/>
          </w:tcPr>
          <w:p w14:paraId="05C8DC14">
            <w:pPr>
              <w:spacing w:line="360" w:lineRule="exac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□技术转让 □技术开发 □技术咨询 □技术服务 </w:t>
            </w:r>
          </w:p>
          <w:p w14:paraId="45B6C5B5">
            <w:pPr>
              <w:spacing w:line="360" w:lineRule="exac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□技术入股 □人才培养 □共建载体 □其他</w:t>
            </w:r>
          </w:p>
        </w:tc>
      </w:tr>
      <w:tr w14:paraId="6AF2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980" w:type="dxa"/>
            <w:gridSpan w:val="2"/>
            <w:tcBorders>
              <w:bottom w:val="single" w:color="auto" w:sz="4" w:space="0"/>
            </w:tcBorders>
            <w:vAlign w:val="center"/>
          </w:tcPr>
          <w:p w14:paraId="1728E153">
            <w:pPr>
              <w:snapToGrid w:val="0"/>
              <w:jc w:val="center"/>
              <w:rPr>
                <w:rFonts w:hint="default" w:ascii="Times New Roman" w:hAnsi="Times New Roman" w:eastAsia="黑体" w:cs="Times New Roman"/>
                <w:bCs/>
                <w:color w:val="auto"/>
                <w:sz w:val="28"/>
                <w:szCs w:val="28"/>
              </w:rPr>
            </w:pPr>
            <w:r>
              <w:rPr>
                <w:rFonts w:hint="default" w:ascii="Times New Roman" w:hAnsi="Times New Roman" w:eastAsia="黑体" w:cs="Times New Roman"/>
                <w:bCs/>
                <w:color w:val="auto"/>
                <w:sz w:val="28"/>
                <w:szCs w:val="28"/>
              </w:rPr>
              <w:t>需求所处阶段</w:t>
            </w:r>
          </w:p>
        </w:tc>
        <w:tc>
          <w:tcPr>
            <w:tcW w:w="3169" w:type="dxa"/>
            <w:tcBorders>
              <w:left w:val="nil"/>
              <w:bottom w:val="single" w:color="auto" w:sz="4" w:space="0"/>
            </w:tcBorders>
            <w:vAlign w:val="center"/>
          </w:tcPr>
          <w:p w14:paraId="3ECEE454">
            <w:pPr>
              <w:snapToGrid w:val="0"/>
              <w:rPr>
                <w:rFonts w:hint="default" w:ascii="Times New Roman" w:hAnsi="Times New Roman" w:eastAsia="仿宋_GB2312" w:cs="Times New Roman"/>
                <w:b/>
                <w:bCs/>
                <w:color w:val="auto"/>
                <w:sz w:val="24"/>
              </w:rPr>
            </w:pPr>
            <w:r>
              <w:rPr>
                <w:rFonts w:hint="default" w:ascii="Times New Roman" w:hAnsi="Times New Roman" w:eastAsia="方正仿宋_GBK" w:cs="Times New Roman"/>
                <w:color w:val="auto"/>
                <w:sz w:val="24"/>
              </w:rPr>
              <w:t xml:space="preserve">□研制 □试生产 □小批量生产 □批量生产 </w:t>
            </w:r>
            <w:r>
              <w:rPr>
                <w:rFonts w:hint="eastAsia" w:ascii="Times New Roman" w:hAnsi="Times New Roman" w:eastAsia="方正仿宋_GBK" w:cs="Times New Roman"/>
                <w:color w:val="auto"/>
                <w:sz w:val="24"/>
                <w:lang w:eastAsia="zh-CN"/>
              </w:rPr>
              <w:t>☑</w:t>
            </w:r>
            <w:r>
              <w:rPr>
                <w:rFonts w:hint="default" w:ascii="Times New Roman" w:hAnsi="Times New Roman" w:eastAsia="方正仿宋_GBK" w:cs="Times New Roman"/>
                <w:color w:val="auto"/>
                <w:sz w:val="24"/>
              </w:rPr>
              <w:t>其他</w:t>
            </w:r>
          </w:p>
        </w:tc>
        <w:tc>
          <w:tcPr>
            <w:tcW w:w="2162" w:type="dxa"/>
            <w:gridSpan w:val="3"/>
            <w:tcBorders>
              <w:left w:val="nil"/>
              <w:bottom w:val="single" w:color="auto" w:sz="4" w:space="0"/>
            </w:tcBorders>
            <w:vAlign w:val="center"/>
          </w:tcPr>
          <w:p w14:paraId="314E4FAF">
            <w:pPr>
              <w:snapToGrid w:val="0"/>
              <w:jc w:val="center"/>
              <w:rPr>
                <w:rFonts w:hint="default" w:ascii="Times New Roman" w:hAnsi="Times New Roman" w:eastAsia="黑体" w:cs="Times New Roman"/>
                <w:bCs/>
                <w:color w:val="auto"/>
                <w:sz w:val="28"/>
                <w:szCs w:val="28"/>
              </w:rPr>
            </w:pPr>
            <w:r>
              <w:rPr>
                <w:rFonts w:hint="default" w:ascii="Times New Roman" w:hAnsi="Times New Roman" w:eastAsia="黑体" w:cs="Times New Roman"/>
                <w:bCs/>
                <w:color w:val="auto"/>
                <w:sz w:val="28"/>
                <w:szCs w:val="28"/>
              </w:rPr>
              <w:t>意向合作院校</w:t>
            </w:r>
          </w:p>
        </w:tc>
        <w:tc>
          <w:tcPr>
            <w:tcW w:w="1698" w:type="dxa"/>
            <w:tcBorders>
              <w:left w:val="nil"/>
              <w:bottom w:val="single" w:color="auto" w:sz="4" w:space="0"/>
            </w:tcBorders>
          </w:tcPr>
          <w:p w14:paraId="773260D2">
            <w:pPr>
              <w:snapToGrid w:val="0"/>
              <w:rPr>
                <w:rFonts w:hint="default" w:ascii="Times New Roman" w:hAnsi="Times New Roman" w:eastAsia="仿宋_GB2312" w:cs="Times New Roman"/>
                <w:color w:val="auto"/>
                <w:sz w:val="24"/>
                <w:lang w:val="en-US" w:eastAsia="zh-CN"/>
              </w:rPr>
            </w:pPr>
            <w:r>
              <w:rPr>
                <w:rFonts w:hint="eastAsia" w:ascii="微软雅黑" w:hAnsi="微软雅黑" w:eastAsia="微软雅黑" w:cs="微软雅黑"/>
                <w:color w:val="auto"/>
                <w:sz w:val="24"/>
                <w:lang w:val="en-US" w:eastAsia="zh-CN"/>
              </w:rPr>
              <w:t>江苏大学</w:t>
            </w:r>
          </w:p>
        </w:tc>
      </w:tr>
      <w:tr w14:paraId="5497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30" w:type="dxa"/>
            <w:tcBorders>
              <w:top w:val="single" w:color="auto" w:sz="4" w:space="0"/>
              <w:left w:val="nil"/>
              <w:bottom w:val="single" w:color="auto" w:sz="4" w:space="0"/>
              <w:right w:val="nil"/>
            </w:tcBorders>
            <w:vAlign w:val="center"/>
          </w:tcPr>
          <w:p w14:paraId="111ECC7A">
            <w:pPr>
              <w:rPr>
                <w:rFonts w:hint="default" w:ascii="Times New Roman" w:hAnsi="Times New Roman" w:eastAsia="仿宋_GB2312" w:cs="Times New Roman"/>
                <w:color w:val="auto"/>
                <w:kern w:val="0"/>
                <w:sz w:val="13"/>
                <w:szCs w:val="13"/>
              </w:rPr>
            </w:pPr>
          </w:p>
        </w:tc>
        <w:tc>
          <w:tcPr>
            <w:tcW w:w="1350" w:type="dxa"/>
            <w:tcBorders>
              <w:top w:val="single" w:color="auto" w:sz="4" w:space="0"/>
              <w:left w:val="nil"/>
              <w:bottom w:val="single" w:color="auto" w:sz="4" w:space="0"/>
              <w:right w:val="nil"/>
            </w:tcBorders>
            <w:vAlign w:val="center"/>
          </w:tcPr>
          <w:p w14:paraId="202B8CCD">
            <w:pPr>
              <w:spacing w:line="320" w:lineRule="exact"/>
              <w:jc w:val="center"/>
              <w:rPr>
                <w:rFonts w:hint="default" w:ascii="Times New Roman" w:hAnsi="Times New Roman" w:eastAsia="仿宋_GB2312" w:cs="Times New Roman"/>
                <w:color w:val="auto"/>
                <w:kern w:val="0"/>
                <w:sz w:val="13"/>
                <w:szCs w:val="13"/>
              </w:rPr>
            </w:pPr>
          </w:p>
        </w:tc>
        <w:tc>
          <w:tcPr>
            <w:tcW w:w="7029" w:type="dxa"/>
            <w:gridSpan w:val="5"/>
            <w:tcBorders>
              <w:top w:val="single" w:color="auto" w:sz="4" w:space="0"/>
              <w:left w:val="nil"/>
              <w:bottom w:val="single" w:color="auto" w:sz="4" w:space="0"/>
              <w:right w:val="nil"/>
            </w:tcBorders>
            <w:vAlign w:val="center"/>
          </w:tcPr>
          <w:p w14:paraId="19824CAC">
            <w:pPr>
              <w:spacing w:line="320" w:lineRule="exact"/>
              <w:rPr>
                <w:rFonts w:hint="default" w:ascii="Times New Roman" w:hAnsi="Times New Roman" w:eastAsia="仿宋_GB2312" w:cs="Times New Roman"/>
                <w:color w:val="auto"/>
                <w:kern w:val="0"/>
                <w:sz w:val="13"/>
                <w:szCs w:val="13"/>
              </w:rPr>
            </w:pPr>
          </w:p>
        </w:tc>
      </w:tr>
    </w:tbl>
    <w:p w14:paraId="76ED698A">
      <w:pPr>
        <w:widowControl/>
        <w:jc w:val="left"/>
        <w:rPr>
          <w:rFonts w:hint="default" w:ascii="Times New Roman" w:hAnsi="Times New Roman" w:eastAsia="方正仿宋_GBK" w:cs="Times New Roman"/>
          <w:color w:val="auto"/>
          <w:kern w:val="0"/>
          <w:sz w:val="32"/>
          <w:szCs w:val="32"/>
        </w:rPr>
      </w:pPr>
      <w:bookmarkStart w:id="0" w:name="_GoBack"/>
      <w:bookmarkEnd w:id="0"/>
    </w:p>
    <w:sectPr>
      <w:footerReference r:id="rId3" w:type="default"/>
      <w:pgSz w:w="11906" w:h="16838"/>
      <w:pgMar w:top="1440" w:right="1519" w:bottom="1440" w:left="1519"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AD519">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74E4F5">
                          <w:pPr>
                            <w:pStyle w:val="3"/>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  \* MERGEFORMAT </w:instrText>
                          </w:r>
                          <w:r>
                            <w:rPr>
                              <w:rFonts w:ascii="Times New Roman" w:hAnsi="Times New Roman" w:cs="Times New Roman"/>
                              <w:sz w:val="30"/>
                              <w:szCs w:val="30"/>
                            </w:rPr>
                            <w:fldChar w:fldCharType="separate"/>
                          </w:r>
                          <w:r>
                            <w:rPr>
                              <w:rFonts w:ascii="Times New Roman" w:hAnsi="Times New Roman" w:cs="Times New Roman"/>
                              <w:sz w:val="30"/>
                              <w:szCs w:val="30"/>
                            </w:rPr>
                            <w:t>- 1 -</w:t>
                          </w:r>
                          <w:r>
                            <w:rPr>
                              <w:rFonts w:ascii="Times New Roman" w:hAnsi="Times New Roman" w:cs="Times New Roman"/>
                              <w:sz w:val="30"/>
                              <w:szCs w:val="3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374E4F5">
                    <w:pPr>
                      <w:pStyle w:val="3"/>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  \* MERGEFORMAT </w:instrText>
                    </w:r>
                    <w:r>
                      <w:rPr>
                        <w:rFonts w:ascii="Times New Roman" w:hAnsi="Times New Roman" w:cs="Times New Roman"/>
                        <w:sz w:val="30"/>
                        <w:szCs w:val="30"/>
                      </w:rPr>
                      <w:fldChar w:fldCharType="separate"/>
                    </w:r>
                    <w:r>
                      <w:rPr>
                        <w:rFonts w:ascii="Times New Roman" w:hAnsi="Times New Roman" w:cs="Times New Roman"/>
                        <w:sz w:val="30"/>
                        <w:szCs w:val="30"/>
                      </w:rPr>
                      <w:t>- 1 -</w:t>
                    </w:r>
                    <w:r>
                      <w:rPr>
                        <w:rFonts w:ascii="Times New Roman" w:hAnsi="Times New Roman" w:cs="Times New Roman"/>
                        <w:sz w:val="30"/>
                        <w:szCs w:val="3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8E3237"/>
    <w:multiLevelType w:val="singleLevel"/>
    <w:tmpl w:val="638E323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xYmRjNTY0OTU0OWJhMjU2YmI5ZGZmMzQ0YjczMjAifQ=="/>
  </w:docVars>
  <w:rsids>
    <w:rsidRoot w:val="18BA14AA"/>
    <w:rsid w:val="0036169B"/>
    <w:rsid w:val="00446642"/>
    <w:rsid w:val="004932E0"/>
    <w:rsid w:val="00561116"/>
    <w:rsid w:val="00983B4B"/>
    <w:rsid w:val="00BA41ED"/>
    <w:rsid w:val="00CD0158"/>
    <w:rsid w:val="00D807E7"/>
    <w:rsid w:val="00FB4052"/>
    <w:rsid w:val="0147778C"/>
    <w:rsid w:val="02F55B6C"/>
    <w:rsid w:val="049727D9"/>
    <w:rsid w:val="053F077B"/>
    <w:rsid w:val="05856AD5"/>
    <w:rsid w:val="06113EC5"/>
    <w:rsid w:val="06C65766"/>
    <w:rsid w:val="077978E7"/>
    <w:rsid w:val="08206641"/>
    <w:rsid w:val="092A7769"/>
    <w:rsid w:val="09F7464E"/>
    <w:rsid w:val="0AE222D4"/>
    <w:rsid w:val="0BDE1032"/>
    <w:rsid w:val="0D7B1100"/>
    <w:rsid w:val="0E796AAB"/>
    <w:rsid w:val="0F582B65"/>
    <w:rsid w:val="0F655282"/>
    <w:rsid w:val="0FBE58FC"/>
    <w:rsid w:val="10790FE5"/>
    <w:rsid w:val="124D097B"/>
    <w:rsid w:val="1254369E"/>
    <w:rsid w:val="13CE5AEB"/>
    <w:rsid w:val="14DE6492"/>
    <w:rsid w:val="153B2D0D"/>
    <w:rsid w:val="15DC52D3"/>
    <w:rsid w:val="166B01A6"/>
    <w:rsid w:val="16E16DA2"/>
    <w:rsid w:val="1764706C"/>
    <w:rsid w:val="17806F99"/>
    <w:rsid w:val="17AC04B0"/>
    <w:rsid w:val="1820482C"/>
    <w:rsid w:val="18BA14AA"/>
    <w:rsid w:val="1A750A6F"/>
    <w:rsid w:val="1B291859"/>
    <w:rsid w:val="1B8371BB"/>
    <w:rsid w:val="1BC670A8"/>
    <w:rsid w:val="1C4050AC"/>
    <w:rsid w:val="1E0A5972"/>
    <w:rsid w:val="1EB77F78"/>
    <w:rsid w:val="1F5350F7"/>
    <w:rsid w:val="20174376"/>
    <w:rsid w:val="20B47E17"/>
    <w:rsid w:val="23566F63"/>
    <w:rsid w:val="23BA5744"/>
    <w:rsid w:val="23DA1943"/>
    <w:rsid w:val="23F23130"/>
    <w:rsid w:val="241906BD"/>
    <w:rsid w:val="26CC5EBA"/>
    <w:rsid w:val="26EC030B"/>
    <w:rsid w:val="288602EB"/>
    <w:rsid w:val="2AF9465D"/>
    <w:rsid w:val="2B0C0F7B"/>
    <w:rsid w:val="2BA93F88"/>
    <w:rsid w:val="2CC94C4A"/>
    <w:rsid w:val="2E1F2D74"/>
    <w:rsid w:val="2FE83639"/>
    <w:rsid w:val="30517430"/>
    <w:rsid w:val="31280191"/>
    <w:rsid w:val="32BF4263"/>
    <w:rsid w:val="339F7DC0"/>
    <w:rsid w:val="33B603F6"/>
    <w:rsid w:val="34A83E27"/>
    <w:rsid w:val="35133AD1"/>
    <w:rsid w:val="35906305"/>
    <w:rsid w:val="360B4EDC"/>
    <w:rsid w:val="362353CB"/>
    <w:rsid w:val="36F31241"/>
    <w:rsid w:val="37EB1F18"/>
    <w:rsid w:val="38106B4F"/>
    <w:rsid w:val="3AD44EE6"/>
    <w:rsid w:val="3BB70A8F"/>
    <w:rsid w:val="3CE138EA"/>
    <w:rsid w:val="3DD14F43"/>
    <w:rsid w:val="3E267C4F"/>
    <w:rsid w:val="3EF207DB"/>
    <w:rsid w:val="3F360145"/>
    <w:rsid w:val="3F4868B9"/>
    <w:rsid w:val="403F72A5"/>
    <w:rsid w:val="40784565"/>
    <w:rsid w:val="417D62D7"/>
    <w:rsid w:val="422E2D56"/>
    <w:rsid w:val="423D3DE3"/>
    <w:rsid w:val="43E05A11"/>
    <w:rsid w:val="455E1F7C"/>
    <w:rsid w:val="47E17D02"/>
    <w:rsid w:val="4AEF52C3"/>
    <w:rsid w:val="4AFF1B0B"/>
    <w:rsid w:val="4B2652EA"/>
    <w:rsid w:val="4DDE26C9"/>
    <w:rsid w:val="4F493C9D"/>
    <w:rsid w:val="4F950C90"/>
    <w:rsid w:val="5015592D"/>
    <w:rsid w:val="510B1228"/>
    <w:rsid w:val="5253098E"/>
    <w:rsid w:val="53874D93"/>
    <w:rsid w:val="543078D7"/>
    <w:rsid w:val="547F60BF"/>
    <w:rsid w:val="55293119"/>
    <w:rsid w:val="558A2919"/>
    <w:rsid w:val="558F6181"/>
    <w:rsid w:val="55BF6453"/>
    <w:rsid w:val="5A010E1A"/>
    <w:rsid w:val="5AFE3C8A"/>
    <w:rsid w:val="5B685CD7"/>
    <w:rsid w:val="5B773940"/>
    <w:rsid w:val="5C5C7996"/>
    <w:rsid w:val="5CDA4186"/>
    <w:rsid w:val="5D804D2D"/>
    <w:rsid w:val="5E1D5B3E"/>
    <w:rsid w:val="5E631F59"/>
    <w:rsid w:val="5F1013D9"/>
    <w:rsid w:val="60254689"/>
    <w:rsid w:val="61371BA7"/>
    <w:rsid w:val="61E82EA1"/>
    <w:rsid w:val="6232236E"/>
    <w:rsid w:val="62A25A89"/>
    <w:rsid w:val="639F57E1"/>
    <w:rsid w:val="644759E4"/>
    <w:rsid w:val="66C8504F"/>
    <w:rsid w:val="68150768"/>
    <w:rsid w:val="68294213"/>
    <w:rsid w:val="68D4417F"/>
    <w:rsid w:val="692344DB"/>
    <w:rsid w:val="6A040A94"/>
    <w:rsid w:val="6B3E66B1"/>
    <w:rsid w:val="6B753BA5"/>
    <w:rsid w:val="6C5F1FB2"/>
    <w:rsid w:val="6CE818D0"/>
    <w:rsid w:val="6EB8009F"/>
    <w:rsid w:val="6F3A0AB4"/>
    <w:rsid w:val="7036127C"/>
    <w:rsid w:val="71072C18"/>
    <w:rsid w:val="71CD0599"/>
    <w:rsid w:val="726C71D7"/>
    <w:rsid w:val="72D80276"/>
    <w:rsid w:val="73DE4104"/>
    <w:rsid w:val="73F27BAF"/>
    <w:rsid w:val="74C7103C"/>
    <w:rsid w:val="757E794D"/>
    <w:rsid w:val="766E26D2"/>
    <w:rsid w:val="76D90BB3"/>
    <w:rsid w:val="76DF7CA3"/>
    <w:rsid w:val="76E47C83"/>
    <w:rsid w:val="76EF03D6"/>
    <w:rsid w:val="76FF686B"/>
    <w:rsid w:val="77DC3489"/>
    <w:rsid w:val="78342545"/>
    <w:rsid w:val="787B4617"/>
    <w:rsid w:val="7908577F"/>
    <w:rsid w:val="791258F3"/>
    <w:rsid w:val="7B106FFF"/>
    <w:rsid w:val="7B6009A7"/>
    <w:rsid w:val="7CAA7279"/>
    <w:rsid w:val="7E835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font11"/>
    <w:basedOn w:val="7"/>
    <w:qFormat/>
    <w:uiPriority w:val="0"/>
    <w:rPr>
      <w:rFonts w:hint="eastAsia" w:ascii="方正仿宋_GBK" w:eastAsia="方正仿宋_GBK"/>
      <w:color w:val="000000"/>
      <w:sz w:val="32"/>
      <w:szCs w:val="32"/>
      <w:u w:val="none"/>
    </w:rPr>
  </w:style>
  <w:style w:type="character" w:customStyle="1" w:styleId="9">
    <w:name w:val="批注框文本 Char"/>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1533</Words>
  <Characters>1599</Characters>
  <Lines>31</Lines>
  <Paragraphs>8</Paragraphs>
  <TotalTime>0</TotalTime>
  <ScaleCrop>false</ScaleCrop>
  <LinksUpToDate>false</LinksUpToDate>
  <CharactersWithSpaces>1690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2023-02-06T02:15:00Z</dcterms:created>
  <dc:creator>Administrator</dc:creator>
  <cp:lastModifiedBy>WPS_1713142089</cp:lastModifiedBy>
  <cp:lastPrinted>2026-03-03T09:42:00Z</cp:lastPrinted>
  <dcterms:modified xsi:type="dcterms:W3CDTF">2026-04-15T08:58:58Z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0C71820DC77B499BA130A4568CEC7FBB_13</vt:lpwstr>
  </property>
  <property fmtid="{D5CDD505-2E9C-101B-9397-08002B2CF9AE}" pid="4" name="KSOTemplateDocerSaveRecord">
    <vt:lpwstr>eyJoZGlkIjoiZjBmYzdmNjkxYzhkZDU0ZDE5ZmExNTA5OWZhMzYzNGIiLCJ1c2VySWQiOiIxNTkzNzE5Mjg0In0=</vt:lpwstr>
  </property>
</Properties>
</file>